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Arial" w:hAnsi="Arial" w:cs="Arial"/>
          <w:b/>
          <w:kern w:val="0"/>
          <w:sz w:val="44"/>
          <w:szCs w:val="44"/>
        </w:rPr>
      </w:pPr>
    </w:p>
    <w:p>
      <w:pPr>
        <w:autoSpaceDE w:val="0"/>
        <w:autoSpaceDN w:val="0"/>
        <w:adjustRightInd w:val="0"/>
        <w:spacing w:line="360" w:lineRule="auto"/>
        <w:jc w:val="center"/>
        <w:rPr>
          <w:rFonts w:ascii="Arial" w:hAnsi="Arial" w:cs="Arial"/>
          <w:b/>
          <w:kern w:val="0"/>
          <w:sz w:val="44"/>
          <w:szCs w:val="44"/>
        </w:rPr>
      </w:pPr>
    </w:p>
    <w:p>
      <w:pPr>
        <w:autoSpaceDE w:val="0"/>
        <w:autoSpaceDN w:val="0"/>
        <w:adjustRightInd w:val="0"/>
        <w:spacing w:line="360" w:lineRule="auto"/>
        <w:jc w:val="center"/>
        <w:rPr>
          <w:rFonts w:ascii="Arial" w:hAnsi="Arial" w:cs="Arial"/>
          <w:b/>
          <w:kern w:val="0"/>
          <w:sz w:val="44"/>
          <w:szCs w:val="44"/>
        </w:rPr>
      </w:pPr>
    </w:p>
    <w:p>
      <w:pPr>
        <w:autoSpaceDE w:val="0"/>
        <w:autoSpaceDN w:val="0"/>
        <w:adjustRightInd w:val="0"/>
        <w:spacing w:line="360" w:lineRule="auto"/>
        <w:jc w:val="center"/>
        <w:rPr>
          <w:rFonts w:ascii="Arial" w:hAnsi="Arial" w:cs="Arial"/>
          <w:b/>
          <w:kern w:val="0"/>
          <w:sz w:val="44"/>
          <w:szCs w:val="44"/>
        </w:rPr>
      </w:pPr>
      <w:r>
        <w:rPr>
          <w:rFonts w:ascii="Arial" w:hAnsi="Arial" w:cs="Arial"/>
          <w:b/>
          <w:kern w:val="0"/>
          <w:sz w:val="44"/>
          <w:szCs w:val="44"/>
        </w:rPr>
        <w:t>河南万基铝业股份有限公司</w:t>
      </w:r>
    </w:p>
    <w:p>
      <w:pPr>
        <w:jc w:val="center"/>
        <w:rPr>
          <w:rFonts w:ascii="Arial" w:hAnsi="Arial" w:cs="Arial"/>
          <w:b/>
          <w:kern w:val="0"/>
          <w:sz w:val="44"/>
          <w:szCs w:val="44"/>
        </w:rPr>
      </w:pPr>
      <w:r>
        <w:rPr>
          <w:rFonts w:hint="eastAsia" w:ascii="Arial" w:hAnsi="Arial" w:cs="Arial"/>
          <w:b/>
          <w:kern w:val="0"/>
          <w:sz w:val="44"/>
          <w:szCs w:val="44"/>
        </w:rPr>
        <w:t>一</w:t>
      </w:r>
      <w:r>
        <w:rPr>
          <w:rFonts w:ascii="Arial" w:hAnsi="Arial" w:cs="Arial"/>
          <w:b/>
          <w:kern w:val="0"/>
          <w:sz w:val="44"/>
          <w:szCs w:val="44"/>
        </w:rPr>
        <w:t>分厂</w:t>
      </w:r>
      <w:r>
        <w:rPr>
          <w:rFonts w:hint="eastAsia" w:ascii="Arial" w:hAnsi="Arial" w:cs="Arial"/>
          <w:b/>
          <w:kern w:val="0"/>
          <w:sz w:val="44"/>
          <w:szCs w:val="44"/>
        </w:rPr>
        <w:t>33</w:t>
      </w:r>
      <w:r>
        <w:rPr>
          <w:rFonts w:ascii="Arial" w:hAnsi="Arial" w:cs="Arial"/>
          <w:b/>
          <w:kern w:val="0"/>
          <w:sz w:val="44"/>
          <w:szCs w:val="44"/>
        </w:rPr>
        <w:t>0kA智能打壳</w:t>
      </w:r>
      <w:r>
        <w:rPr>
          <w:rFonts w:ascii="Arial" w:hAnsi="Arial" w:cs="Arial"/>
          <w:b/>
          <w:bCs w:val="0"/>
          <w:color w:val="auto"/>
          <w:kern w:val="0"/>
          <w:sz w:val="44"/>
          <w:szCs w:val="44"/>
          <w:highlight w:val="none"/>
        </w:rPr>
        <w:t>下料管控</w:t>
      </w:r>
      <w:r>
        <w:rPr>
          <w:rFonts w:ascii="Arial" w:hAnsi="Arial" w:cs="Arial"/>
          <w:b/>
          <w:kern w:val="0"/>
          <w:sz w:val="44"/>
          <w:szCs w:val="44"/>
        </w:rPr>
        <w:t>系统</w:t>
      </w:r>
    </w:p>
    <w:p>
      <w:pPr>
        <w:rPr>
          <w:rFonts w:ascii="Arial" w:hAnsi="Arial" w:cs="Arial"/>
          <w:b/>
          <w:kern w:val="0"/>
          <w:sz w:val="44"/>
          <w:szCs w:val="44"/>
        </w:rPr>
      </w:pPr>
    </w:p>
    <w:p>
      <w:pPr>
        <w:rPr>
          <w:rFonts w:ascii="Arial" w:hAnsi="Arial" w:cs="Arial"/>
          <w:b/>
          <w:kern w:val="0"/>
          <w:sz w:val="44"/>
          <w:szCs w:val="44"/>
        </w:rPr>
      </w:pPr>
    </w:p>
    <w:p>
      <w:pPr>
        <w:ind w:firstLine="3975" w:firstLineChars="900"/>
        <w:rPr>
          <w:rFonts w:ascii="Arial" w:hAnsi="Arial" w:cs="Arial"/>
          <w:b/>
          <w:kern w:val="0"/>
          <w:sz w:val="44"/>
          <w:szCs w:val="44"/>
        </w:rPr>
      </w:pPr>
      <w:r>
        <w:rPr>
          <w:rFonts w:hint="eastAsia" w:ascii="Arial" w:hAnsi="Arial" w:cs="Arial"/>
          <w:b/>
          <w:kern w:val="0"/>
          <w:sz w:val="44"/>
          <w:szCs w:val="44"/>
        </w:rPr>
        <w:t>技</w:t>
      </w:r>
    </w:p>
    <w:p>
      <w:pPr>
        <w:ind w:firstLine="3092" w:firstLineChars="700"/>
        <w:rPr>
          <w:rFonts w:ascii="Arial" w:hAnsi="Arial" w:cs="Arial"/>
          <w:b/>
          <w:kern w:val="0"/>
          <w:sz w:val="44"/>
          <w:szCs w:val="44"/>
        </w:rPr>
      </w:pPr>
    </w:p>
    <w:p>
      <w:pPr>
        <w:ind w:firstLine="3092" w:firstLineChars="700"/>
        <w:rPr>
          <w:rFonts w:ascii="Arial" w:hAnsi="Arial" w:cs="Arial"/>
          <w:b/>
          <w:kern w:val="0"/>
          <w:sz w:val="44"/>
          <w:szCs w:val="44"/>
        </w:rPr>
      </w:pPr>
    </w:p>
    <w:p>
      <w:pPr>
        <w:ind w:firstLine="3975" w:firstLineChars="900"/>
        <w:rPr>
          <w:rFonts w:ascii="Arial" w:hAnsi="Arial" w:cs="Arial"/>
          <w:b/>
          <w:kern w:val="0"/>
          <w:sz w:val="44"/>
          <w:szCs w:val="44"/>
        </w:rPr>
      </w:pPr>
      <w:r>
        <w:rPr>
          <w:rFonts w:hint="eastAsia" w:ascii="Arial" w:hAnsi="Arial" w:cs="Arial"/>
          <w:b/>
          <w:kern w:val="0"/>
          <w:sz w:val="44"/>
          <w:szCs w:val="44"/>
        </w:rPr>
        <w:t>术</w:t>
      </w:r>
    </w:p>
    <w:p>
      <w:pPr>
        <w:ind w:firstLine="3092" w:firstLineChars="700"/>
        <w:rPr>
          <w:rFonts w:ascii="Arial" w:hAnsi="Arial" w:cs="Arial"/>
          <w:b/>
          <w:kern w:val="0"/>
          <w:sz w:val="44"/>
          <w:szCs w:val="44"/>
        </w:rPr>
      </w:pPr>
    </w:p>
    <w:p>
      <w:pPr>
        <w:ind w:firstLine="3092" w:firstLineChars="700"/>
        <w:rPr>
          <w:rFonts w:ascii="Arial" w:hAnsi="Arial" w:cs="Arial"/>
          <w:b/>
          <w:kern w:val="0"/>
          <w:sz w:val="44"/>
          <w:szCs w:val="44"/>
        </w:rPr>
      </w:pPr>
    </w:p>
    <w:p>
      <w:pPr>
        <w:ind w:firstLine="3975" w:firstLineChars="900"/>
        <w:rPr>
          <w:rFonts w:ascii="Arial" w:hAnsi="Arial" w:cs="Arial"/>
          <w:b/>
          <w:kern w:val="0"/>
          <w:sz w:val="44"/>
          <w:szCs w:val="44"/>
        </w:rPr>
      </w:pPr>
      <w:r>
        <w:rPr>
          <w:rFonts w:hint="eastAsia" w:ascii="Arial" w:hAnsi="Arial" w:cs="Arial"/>
          <w:b/>
          <w:kern w:val="0"/>
          <w:sz w:val="44"/>
          <w:szCs w:val="44"/>
        </w:rPr>
        <w:t>要</w:t>
      </w:r>
    </w:p>
    <w:p>
      <w:pPr>
        <w:ind w:firstLine="3092" w:firstLineChars="700"/>
        <w:rPr>
          <w:rFonts w:ascii="Arial" w:hAnsi="Arial" w:cs="Arial"/>
          <w:b/>
          <w:kern w:val="0"/>
          <w:sz w:val="44"/>
          <w:szCs w:val="44"/>
        </w:rPr>
      </w:pPr>
    </w:p>
    <w:p>
      <w:pPr>
        <w:ind w:firstLine="3092" w:firstLineChars="700"/>
        <w:rPr>
          <w:rFonts w:ascii="Arial" w:hAnsi="Arial" w:cs="Arial"/>
          <w:b/>
          <w:kern w:val="0"/>
          <w:sz w:val="44"/>
          <w:szCs w:val="44"/>
        </w:rPr>
      </w:pPr>
    </w:p>
    <w:p>
      <w:pPr>
        <w:ind w:firstLine="3975" w:firstLineChars="900"/>
        <w:rPr>
          <w:rFonts w:ascii="Arial" w:hAnsi="Arial" w:cs="Arial"/>
          <w:b/>
          <w:kern w:val="0"/>
          <w:sz w:val="44"/>
          <w:szCs w:val="44"/>
        </w:rPr>
      </w:pPr>
      <w:r>
        <w:rPr>
          <w:rFonts w:hint="eastAsia" w:ascii="Arial" w:hAnsi="Arial" w:cs="Arial"/>
          <w:b/>
          <w:kern w:val="0"/>
          <w:sz w:val="44"/>
          <w:szCs w:val="44"/>
        </w:rPr>
        <w:t>求</w:t>
      </w:r>
    </w:p>
    <w:p>
      <w:pPr>
        <w:rPr>
          <w:rFonts w:ascii="Arial" w:hAnsi="Arial" w:cs="Arial"/>
          <w:b/>
          <w:kern w:val="0"/>
          <w:sz w:val="44"/>
          <w:szCs w:val="44"/>
        </w:rPr>
      </w:pPr>
    </w:p>
    <w:p>
      <w:pPr>
        <w:rPr>
          <w:rFonts w:ascii="Arial" w:hAnsi="Arial" w:cs="Arial"/>
          <w:b/>
          <w:kern w:val="0"/>
          <w:sz w:val="44"/>
          <w:szCs w:val="44"/>
        </w:rPr>
      </w:pPr>
    </w:p>
    <w:p>
      <w:pPr>
        <w:rPr>
          <w:rFonts w:ascii="Arial" w:hAnsi="Arial" w:cs="Arial"/>
          <w:b/>
          <w:kern w:val="0"/>
          <w:sz w:val="44"/>
          <w:szCs w:val="44"/>
        </w:rPr>
      </w:pPr>
    </w:p>
    <w:p>
      <w:pPr>
        <w:rPr>
          <w:rFonts w:ascii="Arial" w:hAnsi="Arial" w:cs="Arial"/>
          <w:b/>
          <w:kern w:val="0"/>
          <w:sz w:val="44"/>
          <w:szCs w:val="44"/>
        </w:rPr>
      </w:pPr>
    </w:p>
    <w:p>
      <w:pPr>
        <w:rPr>
          <w:rFonts w:ascii="Arial" w:hAnsi="Arial" w:cs="Arial"/>
          <w:b/>
          <w:kern w:val="0"/>
          <w:sz w:val="44"/>
          <w:szCs w:val="44"/>
        </w:rPr>
      </w:pPr>
    </w:p>
    <w:p>
      <w:pPr>
        <w:tabs>
          <w:tab w:val="left" w:pos="0"/>
        </w:tabs>
        <w:spacing w:line="480" w:lineRule="exact"/>
        <w:rPr>
          <w:rFonts w:ascii="仿宋" w:hAnsi="仿宋" w:eastAsia="仿宋" w:cs="仿宋"/>
          <w:b/>
          <w:bCs/>
          <w:sz w:val="32"/>
          <w:szCs w:val="32"/>
        </w:rPr>
      </w:pPr>
      <w:r>
        <w:rPr>
          <w:rFonts w:hint="eastAsia" w:ascii="仿宋" w:hAnsi="仿宋" w:eastAsia="仿宋" w:cs="仿宋"/>
          <w:b/>
          <w:bCs/>
          <w:sz w:val="32"/>
          <w:szCs w:val="32"/>
        </w:rPr>
        <w:t>一、现场环境条件</w:t>
      </w:r>
    </w:p>
    <w:p>
      <w:pPr>
        <w:tabs>
          <w:tab w:val="left" w:pos="0"/>
        </w:tabs>
        <w:spacing w:line="480" w:lineRule="exact"/>
        <w:ind w:firstLine="560"/>
        <w:rPr>
          <w:rFonts w:ascii="仿宋" w:hAnsi="仿宋" w:eastAsia="仿宋" w:cs="仿宋"/>
          <w:sz w:val="28"/>
          <w:szCs w:val="28"/>
        </w:rPr>
      </w:pPr>
      <w:r>
        <w:rPr>
          <w:rFonts w:hint="eastAsia" w:ascii="仿宋" w:hAnsi="仿宋" w:eastAsia="仿宋" w:cs="仿宋"/>
          <w:sz w:val="28"/>
          <w:szCs w:val="28"/>
        </w:rPr>
        <w:t>1、场地海拔高度：295m</w:t>
      </w:r>
    </w:p>
    <w:p>
      <w:pPr>
        <w:tabs>
          <w:tab w:val="left" w:pos="0"/>
        </w:tabs>
        <w:spacing w:line="480" w:lineRule="exact"/>
        <w:rPr>
          <w:rFonts w:ascii="仿宋" w:hAnsi="仿宋" w:eastAsia="仿宋" w:cs="仿宋"/>
          <w:sz w:val="28"/>
          <w:szCs w:val="28"/>
        </w:rPr>
      </w:pPr>
      <w:r>
        <w:rPr>
          <w:rFonts w:hint="eastAsia" w:ascii="仿宋" w:hAnsi="仿宋" w:eastAsia="仿宋" w:cs="仿宋"/>
          <w:sz w:val="28"/>
          <w:szCs w:val="28"/>
        </w:rPr>
        <w:t xml:space="preserve">    2、地震基本烈度：7度</w:t>
      </w:r>
    </w:p>
    <w:p>
      <w:pPr>
        <w:tabs>
          <w:tab w:val="left" w:pos="0"/>
        </w:tabs>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3、安装位置</w:t>
      </w:r>
      <w:r>
        <w:rPr>
          <w:rFonts w:hint="eastAsia" w:ascii="仿宋" w:hAnsi="仿宋" w:eastAsia="仿宋" w:cs="仿宋"/>
          <w:sz w:val="28"/>
          <w:szCs w:val="28"/>
          <w:lang w:eastAsia="zh-CN"/>
        </w:rPr>
        <w:t>：一</w:t>
      </w:r>
      <w:r>
        <w:rPr>
          <w:rFonts w:hint="eastAsia" w:ascii="仿宋" w:hAnsi="仿宋" w:eastAsia="仿宋" w:cs="仿宋"/>
          <w:sz w:val="28"/>
          <w:szCs w:val="28"/>
        </w:rPr>
        <w:t>铝电解车间</w:t>
      </w:r>
      <w:r>
        <w:rPr>
          <w:rFonts w:hint="eastAsia" w:ascii="仿宋" w:hAnsi="仿宋" w:eastAsia="仿宋" w:cs="仿宋"/>
          <w:sz w:val="28"/>
          <w:szCs w:val="28"/>
          <w:lang w:eastAsia="zh-CN"/>
        </w:rPr>
        <w:t>五六区</w:t>
      </w:r>
      <w:r>
        <w:rPr>
          <w:rFonts w:hint="eastAsia" w:ascii="仿宋_GB2312" w:hAnsi="仿宋_GB2312" w:eastAsia="仿宋_GB2312" w:cs="仿宋_GB2312"/>
          <w:sz w:val="28"/>
          <w:szCs w:val="28"/>
        </w:rPr>
        <w:t>。</w:t>
      </w:r>
    </w:p>
    <w:p>
      <w:pPr>
        <w:tabs>
          <w:tab w:val="left" w:pos="0"/>
        </w:tabs>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4、工作制度：365天/年、3班/天、8小时/班。</w:t>
      </w:r>
    </w:p>
    <w:p>
      <w:pPr>
        <w:tabs>
          <w:tab w:val="left" w:pos="0"/>
        </w:tabs>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5、公用设施：供电电源：AC380V/220V±10%,50HZ。</w:t>
      </w:r>
    </w:p>
    <w:p>
      <w:pPr>
        <w:tabs>
          <w:tab w:val="left" w:pos="0"/>
        </w:tabs>
        <w:spacing w:line="480" w:lineRule="exact"/>
        <w:rPr>
          <w:rFonts w:ascii="仿宋" w:hAnsi="仿宋" w:eastAsia="仿宋" w:cs="仿宋"/>
          <w:sz w:val="28"/>
          <w:szCs w:val="28"/>
        </w:rPr>
      </w:pPr>
      <w:r>
        <w:rPr>
          <w:rFonts w:hint="eastAsia" w:ascii="仿宋" w:hAnsi="仿宋" w:eastAsia="仿宋" w:cs="仿宋"/>
          <w:sz w:val="28"/>
          <w:szCs w:val="28"/>
        </w:rPr>
        <w:t xml:space="preserve">    6、气    源：压缩空气压力：0.4～0.8MPa</w:t>
      </w:r>
    </w:p>
    <w:p>
      <w:pPr>
        <w:tabs>
          <w:tab w:val="left" w:pos="0"/>
        </w:tabs>
        <w:spacing w:line="480" w:lineRule="exact"/>
        <w:rPr>
          <w:rFonts w:ascii="仿宋" w:hAnsi="仿宋" w:eastAsia="仿宋" w:cs="仿宋"/>
          <w:b/>
          <w:bCs/>
          <w:sz w:val="32"/>
          <w:szCs w:val="32"/>
        </w:rPr>
      </w:pPr>
      <w:r>
        <w:rPr>
          <w:rFonts w:hint="eastAsia" w:ascii="仿宋" w:hAnsi="仿宋" w:eastAsia="仿宋" w:cs="仿宋"/>
          <w:b/>
          <w:bCs/>
          <w:sz w:val="32"/>
          <w:szCs w:val="32"/>
        </w:rPr>
        <w:t>二、电解槽参数</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575"/>
        <w:gridCol w:w="5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extDirection w:val="tbRlV"/>
            <w:vAlign w:val="center"/>
          </w:tcPr>
          <w:p>
            <w:pPr>
              <w:spacing w:line="480" w:lineRule="exact"/>
              <w:ind w:right="113"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电解槽参数</w:t>
            </w:r>
          </w:p>
        </w:tc>
        <w:tc>
          <w:tcPr>
            <w:tcW w:w="2575" w:type="dxa"/>
            <w:vAlign w:val="center"/>
          </w:tcPr>
          <w:p>
            <w:pPr>
              <w:spacing w:line="48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电流强度</w:t>
            </w:r>
          </w:p>
        </w:tc>
        <w:tc>
          <w:tcPr>
            <w:tcW w:w="5384" w:type="dxa"/>
            <w:vAlign w:val="center"/>
          </w:tcPr>
          <w:p>
            <w:pPr>
              <w:spacing w:line="480" w:lineRule="exact"/>
              <w:ind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330KA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pPr>
              <w:spacing w:line="480" w:lineRule="exact"/>
              <w:ind w:firstLine="480" w:firstLineChars="200"/>
              <w:jc w:val="center"/>
              <w:rPr>
                <w:rFonts w:ascii="仿宋_GB2312" w:hAnsi="仿宋_GB2312" w:eastAsia="仿宋_GB2312" w:cs="仿宋_GB2312"/>
                <w:sz w:val="24"/>
                <w:szCs w:val="24"/>
              </w:rPr>
            </w:pPr>
          </w:p>
        </w:tc>
        <w:tc>
          <w:tcPr>
            <w:tcW w:w="2575" w:type="dxa"/>
            <w:vAlign w:val="center"/>
          </w:tcPr>
          <w:p>
            <w:pPr>
              <w:spacing w:line="48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系列电压</w:t>
            </w:r>
          </w:p>
        </w:tc>
        <w:tc>
          <w:tcPr>
            <w:tcW w:w="5384" w:type="dxa"/>
            <w:vAlign w:val="center"/>
          </w:tcPr>
          <w:p>
            <w:pPr>
              <w:spacing w:line="480" w:lineRule="exact"/>
              <w:ind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256</w:t>
            </w:r>
            <w:r>
              <w:rPr>
                <w:rFonts w:hint="eastAsia" w:ascii="仿宋_GB2312" w:hAnsi="仿宋_GB2312" w:eastAsia="仿宋_GB2312" w:cs="仿宋_GB2312"/>
                <w:sz w:val="24"/>
                <w:szCs w:val="24"/>
              </w:rPr>
              <w:t>V DC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pPr>
              <w:spacing w:line="480" w:lineRule="exact"/>
              <w:ind w:firstLine="480" w:firstLineChars="200"/>
              <w:jc w:val="center"/>
              <w:rPr>
                <w:rFonts w:ascii="仿宋_GB2312" w:hAnsi="仿宋_GB2312" w:eastAsia="仿宋_GB2312" w:cs="仿宋_GB2312"/>
                <w:sz w:val="24"/>
                <w:szCs w:val="24"/>
              </w:rPr>
            </w:pPr>
          </w:p>
        </w:tc>
        <w:tc>
          <w:tcPr>
            <w:tcW w:w="2575" w:type="dxa"/>
            <w:vAlign w:val="center"/>
          </w:tcPr>
          <w:p>
            <w:pPr>
              <w:spacing w:line="48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环境空气</w:t>
            </w:r>
          </w:p>
        </w:tc>
        <w:tc>
          <w:tcPr>
            <w:tcW w:w="5384" w:type="dxa"/>
            <w:vAlign w:val="center"/>
          </w:tcPr>
          <w:p>
            <w:pPr>
              <w:spacing w:line="480" w:lineRule="exact"/>
              <w:ind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含有氧化铝粉尘、炭粒粉尘、氟化氢气体，沥清烟等有害物质。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pPr>
              <w:spacing w:line="480" w:lineRule="exact"/>
              <w:ind w:firstLine="480" w:firstLineChars="200"/>
              <w:jc w:val="center"/>
              <w:rPr>
                <w:rFonts w:ascii="仿宋_GB2312" w:hAnsi="仿宋_GB2312" w:eastAsia="仿宋_GB2312" w:cs="仿宋_GB2312"/>
                <w:sz w:val="24"/>
                <w:szCs w:val="24"/>
              </w:rPr>
            </w:pPr>
          </w:p>
        </w:tc>
        <w:tc>
          <w:tcPr>
            <w:tcW w:w="2575" w:type="dxa"/>
            <w:vAlign w:val="center"/>
          </w:tcPr>
          <w:p>
            <w:pPr>
              <w:spacing w:line="48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壳面表面温度</w:t>
            </w:r>
          </w:p>
        </w:tc>
        <w:tc>
          <w:tcPr>
            <w:tcW w:w="5384" w:type="dxa"/>
            <w:vAlign w:val="center"/>
          </w:tcPr>
          <w:p>
            <w:pPr>
              <w:spacing w:line="480" w:lineRule="exact"/>
              <w:ind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600～750℃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pPr>
              <w:spacing w:line="480" w:lineRule="exact"/>
              <w:ind w:firstLine="480" w:firstLineChars="200"/>
              <w:jc w:val="center"/>
              <w:rPr>
                <w:rFonts w:ascii="仿宋_GB2312" w:hAnsi="仿宋_GB2312" w:eastAsia="仿宋_GB2312" w:cs="仿宋_GB2312"/>
                <w:sz w:val="24"/>
                <w:szCs w:val="24"/>
              </w:rPr>
            </w:pPr>
          </w:p>
        </w:tc>
        <w:tc>
          <w:tcPr>
            <w:tcW w:w="2575" w:type="dxa"/>
            <w:vAlign w:val="center"/>
          </w:tcPr>
          <w:p>
            <w:pPr>
              <w:spacing w:line="48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壳面1m处温度</w:t>
            </w:r>
          </w:p>
        </w:tc>
        <w:tc>
          <w:tcPr>
            <w:tcW w:w="5384" w:type="dxa"/>
            <w:vAlign w:val="center"/>
          </w:tcPr>
          <w:p>
            <w:pPr>
              <w:spacing w:line="480" w:lineRule="exact"/>
              <w:ind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pPr>
              <w:spacing w:line="480" w:lineRule="exact"/>
              <w:ind w:firstLine="480" w:firstLineChars="200"/>
              <w:jc w:val="center"/>
              <w:rPr>
                <w:rFonts w:ascii="仿宋_GB2312" w:hAnsi="仿宋_GB2312" w:eastAsia="仿宋_GB2312" w:cs="仿宋_GB2312"/>
                <w:sz w:val="24"/>
                <w:szCs w:val="24"/>
              </w:rPr>
            </w:pPr>
          </w:p>
        </w:tc>
        <w:tc>
          <w:tcPr>
            <w:tcW w:w="2575" w:type="dxa"/>
            <w:vAlign w:val="center"/>
          </w:tcPr>
          <w:p>
            <w:pPr>
              <w:spacing w:line="48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电解槽上部温度</w:t>
            </w:r>
          </w:p>
        </w:tc>
        <w:tc>
          <w:tcPr>
            <w:tcW w:w="5384" w:type="dxa"/>
            <w:vAlign w:val="center"/>
          </w:tcPr>
          <w:p>
            <w:pPr>
              <w:spacing w:line="480" w:lineRule="exact"/>
              <w:ind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～80—120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pPr>
              <w:spacing w:line="480" w:lineRule="exact"/>
              <w:ind w:firstLine="480" w:firstLineChars="200"/>
              <w:jc w:val="center"/>
              <w:rPr>
                <w:rFonts w:ascii="仿宋_GB2312" w:hAnsi="仿宋_GB2312" w:eastAsia="仿宋_GB2312" w:cs="仿宋_GB2312"/>
                <w:sz w:val="24"/>
                <w:szCs w:val="24"/>
              </w:rPr>
            </w:pPr>
          </w:p>
        </w:tc>
        <w:tc>
          <w:tcPr>
            <w:tcW w:w="2575" w:type="dxa"/>
            <w:vAlign w:val="center"/>
          </w:tcPr>
          <w:p>
            <w:pPr>
              <w:spacing w:line="48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电解质温度</w:t>
            </w:r>
          </w:p>
        </w:tc>
        <w:tc>
          <w:tcPr>
            <w:tcW w:w="5384" w:type="dxa"/>
            <w:vAlign w:val="center"/>
          </w:tcPr>
          <w:p>
            <w:pPr>
              <w:spacing w:line="480" w:lineRule="exact"/>
              <w:ind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9</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0～1000℃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vAlign w:val="center"/>
          </w:tcPr>
          <w:p>
            <w:pPr>
              <w:spacing w:line="480" w:lineRule="exact"/>
              <w:ind w:firstLine="480" w:firstLineChars="200"/>
              <w:jc w:val="center"/>
              <w:rPr>
                <w:rFonts w:ascii="仿宋_GB2312" w:hAnsi="仿宋_GB2312" w:eastAsia="仿宋_GB2312" w:cs="仿宋_GB2312"/>
                <w:sz w:val="24"/>
                <w:szCs w:val="24"/>
              </w:rPr>
            </w:pPr>
          </w:p>
        </w:tc>
        <w:tc>
          <w:tcPr>
            <w:tcW w:w="2575" w:type="dxa"/>
            <w:vAlign w:val="center"/>
          </w:tcPr>
          <w:p>
            <w:pPr>
              <w:spacing w:line="48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操作面磁场</w:t>
            </w:r>
          </w:p>
        </w:tc>
        <w:tc>
          <w:tcPr>
            <w:tcW w:w="5384" w:type="dxa"/>
            <w:vAlign w:val="center"/>
          </w:tcPr>
          <w:p>
            <w:pPr>
              <w:spacing w:line="480" w:lineRule="exact"/>
              <w:ind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强磁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76" w:type="dxa"/>
            <w:gridSpan w:val="2"/>
            <w:vAlign w:val="center"/>
          </w:tcPr>
          <w:p>
            <w:pPr>
              <w:spacing w:line="480" w:lineRule="exact"/>
              <w:ind w:firstLine="480" w:firstLineChars="20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接口尺寸</w:t>
            </w:r>
          </w:p>
        </w:tc>
        <w:tc>
          <w:tcPr>
            <w:tcW w:w="5384" w:type="dxa"/>
            <w:vAlign w:val="center"/>
          </w:tcPr>
          <w:p>
            <w:pPr>
              <w:spacing w:line="48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控制口G1/2（DN15），进气口G3/4(DN20),排气口G1(DN25)1个</w:t>
            </w:r>
          </w:p>
        </w:tc>
      </w:tr>
    </w:tbl>
    <w:p>
      <w:pPr>
        <w:spacing w:line="360" w:lineRule="auto"/>
        <w:rPr>
          <w:rFonts w:ascii="仿宋_GB2312" w:hAnsi="仿宋_GB2312" w:eastAsia="仿宋_GB2312" w:cs="仿宋_GB2312"/>
          <w:b/>
          <w:snapToGrid w:val="0"/>
          <w:sz w:val="32"/>
          <w:szCs w:val="32"/>
        </w:rPr>
      </w:pPr>
      <w:r>
        <w:rPr>
          <w:rFonts w:hint="eastAsia" w:ascii="仿宋_GB2312" w:hAnsi="仿宋_GB2312" w:eastAsia="仿宋_GB2312" w:cs="仿宋_GB2312"/>
          <w:b/>
          <w:snapToGrid w:val="0"/>
          <w:sz w:val="32"/>
          <w:szCs w:val="32"/>
        </w:rPr>
        <w:t>三、设备供货范围要求</w:t>
      </w:r>
    </w:p>
    <w:p>
      <w:pPr>
        <w:spacing w:line="4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highlight w:val="none"/>
        </w:rPr>
        <w:t>64台(套)智能打壳下料管控系统，在原气缸打壳下料控制系统基础上安装智能打壳下料管控系统，主要由智能控制柜、直动式电磁阀、传感器、监控主机及报警系统附件等部分组成。</w:t>
      </w:r>
    </w:p>
    <w:p>
      <w:pPr>
        <w:spacing w:line="48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2、设备供货清单(单槽用量，包括但不局限于以下清单)。</w:t>
      </w:r>
    </w:p>
    <w:tbl>
      <w:tblPr>
        <w:tblStyle w:val="4"/>
        <w:tblW w:w="8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3"/>
        <w:gridCol w:w="1678"/>
        <w:gridCol w:w="3306"/>
        <w:gridCol w:w="709"/>
        <w:gridCol w:w="662"/>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No.</w:t>
            </w:r>
          </w:p>
        </w:tc>
        <w:tc>
          <w:tcPr>
            <w:tcW w:w="1678" w:type="dxa"/>
            <w:vAlign w:val="center"/>
          </w:tcPr>
          <w:p>
            <w:pPr>
              <w:adjustRightInd w:val="0"/>
              <w:spacing w:line="360" w:lineRule="atLeast"/>
              <w:jc w:val="center"/>
              <w:textAlignment w:val="baseline"/>
              <w:rPr>
                <w:rFonts w:ascii="Arial" w:hAnsi="Arial" w:cs="Arial"/>
                <w:highlight w:val="none"/>
              </w:rPr>
            </w:pPr>
            <w:r>
              <w:rPr>
                <w:rFonts w:ascii="Arial" w:hAnsi="Arial" w:cs="Arial"/>
                <w:highlight w:val="none"/>
              </w:rPr>
              <w:t>设备名称</w:t>
            </w:r>
          </w:p>
        </w:tc>
        <w:tc>
          <w:tcPr>
            <w:tcW w:w="3306" w:type="dxa"/>
            <w:vAlign w:val="center"/>
          </w:tcPr>
          <w:p>
            <w:pPr>
              <w:adjustRightInd w:val="0"/>
              <w:spacing w:line="360" w:lineRule="atLeast"/>
              <w:jc w:val="center"/>
              <w:textAlignment w:val="baseline"/>
              <w:rPr>
                <w:rFonts w:ascii="Arial" w:hAnsi="Arial" w:cs="Arial"/>
                <w:highlight w:val="none"/>
              </w:rPr>
            </w:pPr>
            <w:r>
              <w:rPr>
                <w:rFonts w:ascii="Arial" w:hAnsi="Arial" w:cs="Arial"/>
                <w:highlight w:val="none"/>
              </w:rPr>
              <w:t>型号规格</w:t>
            </w:r>
          </w:p>
        </w:tc>
        <w:tc>
          <w:tcPr>
            <w:tcW w:w="709" w:type="dxa"/>
            <w:vAlign w:val="center"/>
          </w:tcPr>
          <w:p>
            <w:pPr>
              <w:adjustRightInd w:val="0"/>
              <w:spacing w:line="360" w:lineRule="atLeast"/>
              <w:jc w:val="center"/>
              <w:textAlignment w:val="baseline"/>
              <w:rPr>
                <w:rFonts w:ascii="Arial" w:hAnsi="Arial" w:cs="Arial"/>
                <w:highlight w:val="none"/>
              </w:rPr>
            </w:pPr>
            <w:r>
              <w:rPr>
                <w:rFonts w:ascii="Arial" w:hAnsi="Arial" w:cs="Arial"/>
                <w:highlight w:val="none"/>
              </w:rPr>
              <w:t>单位</w:t>
            </w:r>
          </w:p>
        </w:tc>
        <w:tc>
          <w:tcPr>
            <w:tcW w:w="662" w:type="dxa"/>
            <w:vAlign w:val="center"/>
          </w:tcPr>
          <w:p>
            <w:pPr>
              <w:adjustRightInd w:val="0"/>
              <w:spacing w:line="360" w:lineRule="atLeast"/>
              <w:jc w:val="center"/>
              <w:textAlignment w:val="baseline"/>
              <w:rPr>
                <w:rFonts w:ascii="Arial" w:hAnsi="Arial" w:cs="Arial"/>
                <w:highlight w:val="none"/>
              </w:rPr>
            </w:pPr>
            <w:r>
              <w:rPr>
                <w:rFonts w:ascii="Arial" w:hAnsi="Arial" w:cs="Arial"/>
                <w:highlight w:val="none"/>
              </w:rPr>
              <w:t>数量</w:t>
            </w:r>
          </w:p>
        </w:tc>
        <w:tc>
          <w:tcPr>
            <w:tcW w:w="1985" w:type="dxa"/>
            <w:vAlign w:val="center"/>
          </w:tcPr>
          <w:p>
            <w:pPr>
              <w:jc w:val="center"/>
              <w:rPr>
                <w:rFonts w:ascii="Arial" w:hAnsi="Arial" w:cs="Arial"/>
                <w:highlight w:val="none"/>
              </w:rPr>
            </w:pPr>
            <w:r>
              <w:rPr>
                <w:rFonts w:hint="eastAsia" w:ascii="Arial" w:hAnsi="Arial" w:cs="Arial"/>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1</w:t>
            </w:r>
          </w:p>
        </w:tc>
        <w:tc>
          <w:tcPr>
            <w:tcW w:w="1678"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智能打壳下料控制与槽控机一体</w:t>
            </w:r>
          </w:p>
        </w:tc>
        <w:tc>
          <w:tcPr>
            <w:tcW w:w="3306" w:type="dxa"/>
            <w:vAlign w:val="center"/>
          </w:tcPr>
          <w:p>
            <w:pPr>
              <w:adjustRightInd w:val="0"/>
              <w:spacing w:line="360" w:lineRule="atLeast"/>
              <w:textAlignment w:val="baseline"/>
              <w:rPr>
                <w:rFonts w:ascii="Arial" w:hAnsi="Arial" w:cs="Arial"/>
                <w:highlight w:val="none"/>
              </w:rPr>
            </w:pPr>
            <w:r>
              <w:rPr>
                <w:rFonts w:hint="eastAsia" w:ascii="Arial" w:hAnsi="Arial" w:cs="Arial"/>
                <w:highlight w:val="none"/>
              </w:rPr>
              <w:t>e-Hit8 II（ARM系统）</w:t>
            </w:r>
          </w:p>
        </w:tc>
        <w:tc>
          <w:tcPr>
            <w:tcW w:w="709"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台</w:t>
            </w:r>
          </w:p>
        </w:tc>
        <w:tc>
          <w:tcPr>
            <w:tcW w:w="662"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1</w:t>
            </w:r>
          </w:p>
        </w:tc>
        <w:tc>
          <w:tcPr>
            <w:tcW w:w="1985" w:type="dxa"/>
            <w:vAlign w:val="center"/>
          </w:tcPr>
          <w:p>
            <w:pPr>
              <w:adjustRightInd w:val="0"/>
              <w:spacing w:line="360" w:lineRule="atLeast"/>
              <w:jc w:val="center"/>
              <w:textAlignment w:val="baseline"/>
              <w:rPr>
                <w:rFonts w:ascii="Arial" w:hAnsi="Arial" w:cs="Arial"/>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 w:type="dxa"/>
            <w:vAlign w:val="center"/>
          </w:tcPr>
          <w:p>
            <w:pPr>
              <w:adjustRightInd w:val="0"/>
              <w:spacing w:line="360" w:lineRule="atLeast"/>
              <w:jc w:val="center"/>
              <w:textAlignment w:val="baseline"/>
              <w:rPr>
                <w:rFonts w:ascii="Arial" w:hAnsi="Arial" w:cs="Arial"/>
              </w:rPr>
            </w:pPr>
            <w:r>
              <w:rPr>
                <w:rFonts w:hint="eastAsia" w:ascii="Arial" w:hAnsi="Arial" w:cs="Arial"/>
              </w:rPr>
              <w:t>2</w:t>
            </w:r>
          </w:p>
        </w:tc>
        <w:tc>
          <w:tcPr>
            <w:tcW w:w="1678" w:type="dxa"/>
            <w:vAlign w:val="center"/>
          </w:tcPr>
          <w:p>
            <w:pPr>
              <w:adjustRightInd w:val="0"/>
              <w:spacing w:line="360" w:lineRule="atLeast"/>
              <w:jc w:val="center"/>
              <w:textAlignment w:val="baseline"/>
              <w:rPr>
                <w:rFonts w:ascii="Arial" w:hAnsi="Arial" w:cs="Arial"/>
              </w:rPr>
            </w:pPr>
            <w:r>
              <w:rPr>
                <w:rFonts w:hint="eastAsia" w:ascii="Arial" w:hAnsi="Arial" w:cs="Arial"/>
              </w:rPr>
              <w:t>控制电缆及其它辅材</w:t>
            </w:r>
          </w:p>
        </w:tc>
        <w:tc>
          <w:tcPr>
            <w:tcW w:w="3306" w:type="dxa"/>
            <w:vAlign w:val="center"/>
          </w:tcPr>
          <w:p>
            <w:pPr>
              <w:pStyle w:val="8"/>
              <w:numPr>
                <w:ilvl w:val="0"/>
                <w:numId w:val="1"/>
              </w:numPr>
              <w:adjustRightInd w:val="0"/>
              <w:spacing w:line="360" w:lineRule="atLeast"/>
              <w:ind w:firstLineChars="0"/>
              <w:textAlignment w:val="baseline"/>
              <w:rPr>
                <w:rFonts w:ascii="Arial" w:hAnsi="Arial" w:cs="Arial"/>
              </w:rPr>
            </w:pPr>
            <w:r>
              <w:rPr>
                <w:rFonts w:hint="eastAsia" w:ascii="Arial" w:hAnsi="Arial" w:cs="Arial"/>
              </w:rPr>
              <w:t>采用耐高温电缆（耐温120℃以上，多股铜芯线）连接控制柜和传感器，沿穿线管或桥架走线。</w:t>
            </w:r>
          </w:p>
          <w:p>
            <w:pPr>
              <w:pStyle w:val="8"/>
              <w:numPr>
                <w:ilvl w:val="0"/>
                <w:numId w:val="1"/>
              </w:numPr>
              <w:adjustRightInd w:val="0"/>
              <w:spacing w:line="360" w:lineRule="atLeast"/>
              <w:ind w:firstLineChars="0"/>
              <w:textAlignment w:val="baseline"/>
              <w:rPr>
                <w:rFonts w:ascii="Arial" w:hAnsi="Arial" w:cs="Arial"/>
              </w:rPr>
            </w:pPr>
            <w:r>
              <w:rPr>
                <w:rFonts w:hint="eastAsia" w:ascii="Arial" w:hAnsi="Arial" w:cs="Arial"/>
              </w:rPr>
              <w:t>气管采用耐高温高压防静电气管，锥形密封端头。</w:t>
            </w:r>
          </w:p>
          <w:p>
            <w:pPr>
              <w:pStyle w:val="8"/>
              <w:numPr>
                <w:ilvl w:val="0"/>
                <w:numId w:val="1"/>
              </w:numPr>
              <w:adjustRightInd w:val="0"/>
              <w:spacing w:line="360" w:lineRule="atLeast"/>
              <w:ind w:firstLineChars="0"/>
              <w:textAlignment w:val="baseline"/>
              <w:rPr>
                <w:rFonts w:ascii="Arial" w:hAnsi="Arial" w:cs="Arial"/>
              </w:rPr>
            </w:pPr>
            <w:r>
              <w:rPr>
                <w:rFonts w:hint="eastAsia" w:ascii="Arial" w:hAnsi="Arial" w:cs="Arial"/>
                <w:highlight w:val="none"/>
              </w:rPr>
              <w:t>槽上部控制气路采用4分水煤气管。</w:t>
            </w:r>
          </w:p>
        </w:tc>
        <w:tc>
          <w:tcPr>
            <w:tcW w:w="709" w:type="dxa"/>
            <w:vAlign w:val="center"/>
          </w:tcPr>
          <w:p>
            <w:pPr>
              <w:adjustRightInd w:val="0"/>
              <w:spacing w:line="360" w:lineRule="atLeast"/>
              <w:jc w:val="center"/>
              <w:textAlignment w:val="baseline"/>
              <w:rPr>
                <w:rFonts w:ascii="Arial" w:hAnsi="Arial" w:cs="Arial"/>
              </w:rPr>
            </w:pPr>
            <w:r>
              <w:rPr>
                <w:rFonts w:hint="eastAsia" w:ascii="Arial" w:hAnsi="Arial" w:cs="Arial"/>
              </w:rPr>
              <w:t>套</w:t>
            </w:r>
          </w:p>
        </w:tc>
        <w:tc>
          <w:tcPr>
            <w:tcW w:w="662" w:type="dxa"/>
            <w:vAlign w:val="center"/>
          </w:tcPr>
          <w:p>
            <w:pPr>
              <w:adjustRightInd w:val="0"/>
              <w:spacing w:line="360" w:lineRule="atLeast"/>
              <w:jc w:val="center"/>
              <w:textAlignment w:val="baseline"/>
              <w:rPr>
                <w:rFonts w:ascii="Arial" w:hAnsi="Arial" w:cs="Arial"/>
              </w:rPr>
            </w:pPr>
            <w:r>
              <w:rPr>
                <w:rFonts w:hint="eastAsia" w:ascii="Arial" w:hAnsi="Arial" w:cs="Arial"/>
              </w:rPr>
              <w:t>1</w:t>
            </w:r>
          </w:p>
        </w:tc>
        <w:tc>
          <w:tcPr>
            <w:tcW w:w="1985" w:type="dxa"/>
            <w:vAlign w:val="center"/>
          </w:tcPr>
          <w:p>
            <w:pPr>
              <w:adjustRightInd w:val="0"/>
              <w:spacing w:line="360" w:lineRule="atLeast"/>
              <w:jc w:val="center"/>
              <w:textAlignment w:val="baseline"/>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43" w:type="dxa"/>
            <w:vAlign w:val="center"/>
          </w:tcPr>
          <w:p>
            <w:pPr>
              <w:adjustRightInd w:val="0"/>
              <w:spacing w:line="360" w:lineRule="atLeast"/>
              <w:jc w:val="center"/>
              <w:textAlignment w:val="baseline"/>
              <w:rPr>
                <w:rFonts w:ascii="Arial" w:hAnsi="Arial" w:cs="Arial"/>
              </w:rPr>
            </w:pPr>
            <w:r>
              <w:rPr>
                <w:rFonts w:hint="eastAsia" w:ascii="Arial" w:hAnsi="Arial" w:cs="Arial"/>
              </w:rPr>
              <w:t>3</w:t>
            </w:r>
          </w:p>
        </w:tc>
        <w:tc>
          <w:tcPr>
            <w:tcW w:w="1678" w:type="dxa"/>
            <w:vAlign w:val="center"/>
          </w:tcPr>
          <w:p>
            <w:pPr>
              <w:adjustRightInd w:val="0"/>
              <w:spacing w:line="360" w:lineRule="atLeast"/>
              <w:jc w:val="center"/>
              <w:textAlignment w:val="baseline"/>
              <w:rPr>
                <w:rFonts w:ascii="Arial" w:hAnsi="Arial" w:cs="Arial"/>
              </w:rPr>
            </w:pPr>
            <w:r>
              <w:rPr>
                <w:rFonts w:hint="eastAsia" w:ascii="Arial" w:hAnsi="Arial" w:cs="Arial"/>
              </w:rPr>
              <w:t>分线箱</w:t>
            </w:r>
          </w:p>
        </w:tc>
        <w:tc>
          <w:tcPr>
            <w:tcW w:w="3306" w:type="dxa"/>
            <w:vAlign w:val="center"/>
          </w:tcPr>
          <w:p>
            <w:pPr>
              <w:adjustRightInd w:val="0"/>
              <w:spacing w:line="360" w:lineRule="atLeast"/>
              <w:textAlignment w:val="baseline"/>
              <w:rPr>
                <w:rFonts w:ascii="Arial" w:hAnsi="Arial" w:cs="Arial"/>
              </w:rPr>
            </w:pPr>
            <w:r>
              <w:rPr>
                <w:rFonts w:hint="eastAsia" w:ascii="Arial" w:hAnsi="Arial" w:cs="Arial"/>
              </w:rPr>
              <w:t>安装与烟道端槽上部端头。用于大修槽时分离电缆，端子排采用魏德米勒</w:t>
            </w:r>
          </w:p>
        </w:tc>
        <w:tc>
          <w:tcPr>
            <w:tcW w:w="709" w:type="dxa"/>
            <w:vAlign w:val="center"/>
          </w:tcPr>
          <w:p>
            <w:pPr>
              <w:adjustRightInd w:val="0"/>
              <w:spacing w:line="360" w:lineRule="atLeast"/>
              <w:jc w:val="center"/>
              <w:textAlignment w:val="baseline"/>
              <w:rPr>
                <w:rFonts w:ascii="Arial" w:hAnsi="Arial" w:cs="Arial"/>
              </w:rPr>
            </w:pPr>
            <w:r>
              <w:rPr>
                <w:rFonts w:hint="eastAsia" w:ascii="Arial" w:hAnsi="Arial" w:cs="Arial"/>
              </w:rPr>
              <w:t>台</w:t>
            </w:r>
          </w:p>
        </w:tc>
        <w:tc>
          <w:tcPr>
            <w:tcW w:w="662" w:type="dxa"/>
            <w:vAlign w:val="center"/>
          </w:tcPr>
          <w:p>
            <w:pPr>
              <w:adjustRightInd w:val="0"/>
              <w:spacing w:line="360" w:lineRule="atLeast"/>
              <w:jc w:val="center"/>
              <w:textAlignment w:val="baseline"/>
              <w:rPr>
                <w:rFonts w:ascii="Arial" w:hAnsi="Arial" w:cs="Arial"/>
              </w:rPr>
            </w:pPr>
            <w:r>
              <w:rPr>
                <w:rFonts w:hint="eastAsia" w:ascii="Arial" w:hAnsi="Arial" w:cs="Arial"/>
              </w:rPr>
              <w:t>1</w:t>
            </w:r>
          </w:p>
        </w:tc>
        <w:tc>
          <w:tcPr>
            <w:tcW w:w="1985" w:type="dxa"/>
            <w:vAlign w:val="center"/>
          </w:tcPr>
          <w:p>
            <w:pPr>
              <w:adjustRightInd w:val="0"/>
              <w:spacing w:line="360" w:lineRule="atLeast"/>
              <w:jc w:val="center"/>
              <w:textAlignment w:val="baseline"/>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 w:type="dxa"/>
            <w:vAlign w:val="center"/>
          </w:tcPr>
          <w:p>
            <w:pPr>
              <w:adjustRightInd w:val="0"/>
              <w:spacing w:line="360" w:lineRule="atLeast"/>
              <w:jc w:val="center"/>
              <w:textAlignment w:val="baseline"/>
              <w:rPr>
                <w:rFonts w:ascii="Arial" w:hAnsi="Arial" w:cs="Arial"/>
              </w:rPr>
            </w:pPr>
            <w:r>
              <w:rPr>
                <w:rFonts w:hint="eastAsia" w:ascii="Arial" w:hAnsi="Arial" w:cs="Arial"/>
              </w:rPr>
              <w:t>4</w:t>
            </w:r>
          </w:p>
        </w:tc>
        <w:tc>
          <w:tcPr>
            <w:tcW w:w="1678" w:type="dxa"/>
            <w:vAlign w:val="center"/>
          </w:tcPr>
          <w:p>
            <w:pPr>
              <w:adjustRightInd w:val="0"/>
              <w:spacing w:line="360" w:lineRule="atLeast"/>
              <w:jc w:val="center"/>
              <w:textAlignment w:val="baseline"/>
              <w:rPr>
                <w:rFonts w:ascii="Arial" w:hAnsi="Arial" w:cs="Arial"/>
                <w:highlight w:val="none"/>
              </w:rPr>
            </w:pPr>
            <w:r>
              <w:rPr>
                <w:rFonts w:ascii="Arial" w:hAnsi="Arial" w:cs="Arial"/>
                <w:highlight w:val="none"/>
              </w:rPr>
              <w:t>气控柜</w:t>
            </w:r>
          </w:p>
        </w:tc>
        <w:tc>
          <w:tcPr>
            <w:tcW w:w="3306" w:type="dxa"/>
            <w:vAlign w:val="center"/>
          </w:tcPr>
          <w:p>
            <w:pPr>
              <w:adjustRightInd w:val="0"/>
              <w:spacing w:line="360" w:lineRule="atLeast"/>
              <w:jc w:val="center"/>
              <w:textAlignment w:val="baseline"/>
              <w:rPr>
                <w:rFonts w:ascii="Arial" w:hAnsi="Arial" w:cs="Arial"/>
                <w:highlight w:val="none"/>
              </w:rPr>
            </w:pPr>
          </w:p>
        </w:tc>
        <w:tc>
          <w:tcPr>
            <w:tcW w:w="709"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面</w:t>
            </w:r>
          </w:p>
        </w:tc>
        <w:tc>
          <w:tcPr>
            <w:tcW w:w="662"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1</w:t>
            </w:r>
          </w:p>
        </w:tc>
        <w:tc>
          <w:tcPr>
            <w:tcW w:w="1985" w:type="dxa"/>
            <w:vAlign w:val="center"/>
          </w:tcPr>
          <w:p>
            <w:pPr>
              <w:adjustRightInd w:val="0"/>
              <w:spacing w:line="360" w:lineRule="atLeast"/>
              <w:jc w:val="center"/>
              <w:textAlignment w:val="baseline"/>
              <w:rPr>
                <w:rFonts w:ascii="Arial" w:hAnsi="Arial" w:cs="Arial"/>
                <w:highlight w:val="none"/>
              </w:rPr>
            </w:pPr>
            <w:r>
              <w:rPr>
                <w:rFonts w:ascii="Arial" w:hAnsi="Arial" w:cs="Arial"/>
                <w:highlight w:val="none"/>
              </w:rPr>
              <w:t>集中放置电磁阀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 w:type="dxa"/>
            <w:vAlign w:val="center"/>
          </w:tcPr>
          <w:p>
            <w:pPr>
              <w:adjustRightInd w:val="0"/>
              <w:spacing w:line="360" w:lineRule="atLeast"/>
              <w:jc w:val="center"/>
              <w:textAlignment w:val="baseline"/>
              <w:rPr>
                <w:rFonts w:ascii="Arial" w:hAnsi="Arial" w:cs="Arial"/>
              </w:rPr>
            </w:pPr>
            <w:r>
              <w:rPr>
                <w:rFonts w:hint="eastAsia" w:ascii="Arial" w:hAnsi="Arial" w:cs="Arial"/>
              </w:rPr>
              <w:t>5</w:t>
            </w:r>
          </w:p>
        </w:tc>
        <w:tc>
          <w:tcPr>
            <w:tcW w:w="1678" w:type="dxa"/>
            <w:vAlign w:val="center"/>
          </w:tcPr>
          <w:p>
            <w:pPr>
              <w:adjustRightInd w:val="0"/>
              <w:spacing w:line="360" w:lineRule="atLeast"/>
              <w:jc w:val="center"/>
              <w:textAlignment w:val="baseline"/>
              <w:rPr>
                <w:rFonts w:ascii="Arial" w:hAnsi="Arial" w:cs="Arial"/>
              </w:rPr>
            </w:pPr>
            <w:r>
              <w:rPr>
                <w:rFonts w:ascii="Arial" w:hAnsi="Arial" w:cs="Arial"/>
                <w:szCs w:val="21"/>
              </w:rPr>
              <w:t>监控机(工控机)及通讯模块</w:t>
            </w:r>
          </w:p>
        </w:tc>
        <w:tc>
          <w:tcPr>
            <w:tcW w:w="3306" w:type="dxa"/>
            <w:vAlign w:val="center"/>
          </w:tcPr>
          <w:p>
            <w:pPr>
              <w:adjustRightInd w:val="0"/>
              <w:spacing w:line="360" w:lineRule="atLeast"/>
              <w:jc w:val="center"/>
              <w:textAlignment w:val="baseline"/>
              <w:rPr>
                <w:rFonts w:ascii="Arial" w:hAnsi="Arial" w:cs="Arial"/>
                <w:szCs w:val="21"/>
              </w:rPr>
            </w:pPr>
            <w:r>
              <w:rPr>
                <w:rFonts w:ascii="Arial" w:hAnsi="Arial" w:cs="Arial"/>
                <w:szCs w:val="21"/>
              </w:rPr>
              <w:t>研华IPC-610L</w:t>
            </w:r>
            <w:r>
              <w:rPr>
                <w:rFonts w:hint="eastAsia" w:ascii="Arial" w:hAnsi="Arial" w:cs="Arial"/>
                <w:szCs w:val="21"/>
              </w:rPr>
              <w:t>，</w:t>
            </w:r>
            <w:r>
              <w:rPr>
                <w:rFonts w:ascii="Arial" w:hAnsi="Arial" w:cs="Arial"/>
                <w:szCs w:val="21"/>
              </w:rPr>
              <w:t>三星23’显示</w:t>
            </w:r>
            <w:r>
              <w:rPr>
                <w:rFonts w:hint="eastAsia" w:ascii="Arial" w:hAnsi="Arial" w:cs="Arial"/>
                <w:szCs w:val="21"/>
              </w:rPr>
              <w:t>器，</w:t>
            </w:r>
          </w:p>
          <w:p>
            <w:pPr>
              <w:adjustRightInd w:val="0"/>
              <w:spacing w:line="360" w:lineRule="atLeast"/>
              <w:jc w:val="center"/>
              <w:textAlignment w:val="baseline"/>
              <w:rPr>
                <w:rFonts w:ascii="Arial" w:hAnsi="Arial" w:cs="Arial"/>
              </w:rPr>
            </w:pPr>
            <w:r>
              <w:rPr>
                <w:rFonts w:hint="eastAsia" w:ascii="Arial" w:hAnsi="Arial" w:cs="Arial"/>
                <w:szCs w:val="21"/>
              </w:rPr>
              <w:t>CANet模块</w:t>
            </w:r>
          </w:p>
        </w:tc>
        <w:tc>
          <w:tcPr>
            <w:tcW w:w="709" w:type="dxa"/>
            <w:vAlign w:val="center"/>
          </w:tcPr>
          <w:p>
            <w:pPr>
              <w:adjustRightInd w:val="0"/>
              <w:spacing w:line="360" w:lineRule="atLeast"/>
              <w:jc w:val="center"/>
              <w:textAlignment w:val="baseline"/>
              <w:rPr>
                <w:rFonts w:ascii="Arial" w:hAnsi="Arial" w:cs="Arial"/>
              </w:rPr>
            </w:pPr>
            <w:r>
              <w:rPr>
                <w:rFonts w:hint="eastAsia" w:ascii="Arial" w:hAnsi="Arial" w:cs="Arial"/>
              </w:rPr>
              <w:t>套</w:t>
            </w:r>
          </w:p>
        </w:tc>
        <w:tc>
          <w:tcPr>
            <w:tcW w:w="662" w:type="dxa"/>
            <w:vAlign w:val="center"/>
          </w:tcPr>
          <w:p>
            <w:pPr>
              <w:adjustRightInd w:val="0"/>
              <w:spacing w:line="360" w:lineRule="atLeast"/>
              <w:jc w:val="center"/>
              <w:textAlignment w:val="baseline"/>
              <w:rPr>
                <w:rFonts w:ascii="Arial" w:hAnsi="Arial" w:cs="Arial"/>
              </w:rPr>
            </w:pPr>
            <w:r>
              <w:rPr>
                <w:rFonts w:hint="eastAsia" w:ascii="Arial" w:hAnsi="Arial" w:cs="Arial"/>
              </w:rPr>
              <w:t>1</w:t>
            </w:r>
          </w:p>
        </w:tc>
        <w:tc>
          <w:tcPr>
            <w:tcW w:w="1985" w:type="dxa"/>
            <w:vAlign w:val="center"/>
          </w:tcPr>
          <w:p>
            <w:pPr>
              <w:adjustRightInd w:val="0"/>
              <w:spacing w:line="360" w:lineRule="atLeast"/>
              <w:jc w:val="center"/>
              <w:textAlignment w:val="baseline"/>
              <w:rPr>
                <w:rFonts w:ascii="Arial" w:hAnsi="Arial" w:cs="Arial"/>
              </w:rPr>
            </w:pPr>
            <w:r>
              <w:rPr>
                <w:rFonts w:hint="eastAsia" w:ascii="Arial" w:hAnsi="Arial" w:cs="Arial"/>
              </w:rPr>
              <w:t>（每个工区1台）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6</w:t>
            </w:r>
          </w:p>
        </w:tc>
        <w:tc>
          <w:tcPr>
            <w:tcW w:w="1678"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二位三通电磁阀</w:t>
            </w:r>
          </w:p>
        </w:tc>
        <w:tc>
          <w:tcPr>
            <w:tcW w:w="3306" w:type="dxa"/>
            <w:vAlign w:val="center"/>
          </w:tcPr>
          <w:p>
            <w:pPr>
              <w:adjustRightInd w:val="0"/>
              <w:spacing w:line="360" w:lineRule="atLeast"/>
              <w:jc w:val="center"/>
              <w:textAlignment w:val="baseline"/>
              <w:rPr>
                <w:rFonts w:ascii="Arial" w:hAnsi="Arial" w:cs="Arial"/>
                <w:highlight w:val="none"/>
              </w:rPr>
            </w:pPr>
            <w:r>
              <w:rPr>
                <w:rStyle w:val="6"/>
                <w:rFonts w:ascii="Arial" w:hAnsi="Arial" w:cs="Arial"/>
                <w:color w:val="auto"/>
                <w:highlight w:val="none"/>
                <w:lang w:bidi="ar"/>
              </w:rPr>
              <w:t>AC220V二位三通电磁阀</w:t>
            </w:r>
          </w:p>
        </w:tc>
        <w:tc>
          <w:tcPr>
            <w:tcW w:w="709"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个</w:t>
            </w:r>
          </w:p>
        </w:tc>
        <w:tc>
          <w:tcPr>
            <w:tcW w:w="662"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6</w:t>
            </w:r>
          </w:p>
        </w:tc>
        <w:tc>
          <w:tcPr>
            <w:tcW w:w="1985" w:type="dxa"/>
            <w:vAlign w:val="center"/>
          </w:tcPr>
          <w:p>
            <w:pPr>
              <w:adjustRightInd w:val="0"/>
              <w:spacing w:line="360" w:lineRule="atLeast"/>
              <w:jc w:val="center"/>
              <w:textAlignment w:val="baseline"/>
              <w:rPr>
                <w:rFonts w:ascii="Arial" w:hAnsi="Arial" w:cs="Arial"/>
                <w:highlight w:val="none"/>
              </w:rPr>
            </w:pPr>
            <w:r>
              <w:rPr>
                <w:rFonts w:ascii="Arial" w:hAnsi="Arial" w:cs="Arial"/>
                <w:highlight w:val="none"/>
              </w:rPr>
              <w:t>打壳电磁阀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7</w:t>
            </w:r>
          </w:p>
        </w:tc>
        <w:tc>
          <w:tcPr>
            <w:tcW w:w="1678"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二位四通电磁阀</w:t>
            </w:r>
          </w:p>
        </w:tc>
        <w:tc>
          <w:tcPr>
            <w:tcW w:w="3306" w:type="dxa"/>
            <w:vAlign w:val="center"/>
          </w:tcPr>
          <w:p>
            <w:pPr>
              <w:adjustRightInd w:val="0"/>
              <w:spacing w:line="360" w:lineRule="atLeast"/>
              <w:jc w:val="center"/>
              <w:textAlignment w:val="baseline"/>
              <w:rPr>
                <w:rFonts w:ascii="Arial" w:hAnsi="Arial" w:cs="Arial"/>
                <w:highlight w:val="none"/>
              </w:rPr>
            </w:pPr>
            <w:r>
              <w:rPr>
                <w:rStyle w:val="6"/>
                <w:rFonts w:ascii="Arial" w:hAnsi="Arial" w:cs="Arial"/>
                <w:color w:val="auto"/>
                <w:highlight w:val="none"/>
                <w:lang w:bidi="ar"/>
              </w:rPr>
              <w:t>AC220V二位四通电磁阀</w:t>
            </w:r>
          </w:p>
        </w:tc>
        <w:tc>
          <w:tcPr>
            <w:tcW w:w="709"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个</w:t>
            </w:r>
          </w:p>
        </w:tc>
        <w:tc>
          <w:tcPr>
            <w:tcW w:w="662"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6</w:t>
            </w:r>
          </w:p>
        </w:tc>
        <w:tc>
          <w:tcPr>
            <w:tcW w:w="1985" w:type="dxa"/>
            <w:vAlign w:val="center"/>
          </w:tcPr>
          <w:p>
            <w:pPr>
              <w:adjustRightInd w:val="0"/>
              <w:spacing w:line="360" w:lineRule="atLeast"/>
              <w:jc w:val="center"/>
              <w:textAlignment w:val="baseline"/>
              <w:rPr>
                <w:rFonts w:ascii="Arial" w:hAnsi="Arial" w:cs="Arial"/>
                <w:highlight w:val="none"/>
              </w:rPr>
            </w:pPr>
            <w:r>
              <w:rPr>
                <w:rFonts w:ascii="Arial" w:hAnsi="Arial" w:cs="Arial"/>
                <w:highlight w:val="none"/>
              </w:rPr>
              <w:t>下料电磁阀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8</w:t>
            </w:r>
          </w:p>
        </w:tc>
        <w:tc>
          <w:tcPr>
            <w:tcW w:w="1678"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传感器</w:t>
            </w:r>
          </w:p>
        </w:tc>
        <w:tc>
          <w:tcPr>
            <w:tcW w:w="3306"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耐高温强磁密封传感器</w:t>
            </w:r>
          </w:p>
        </w:tc>
        <w:tc>
          <w:tcPr>
            <w:tcW w:w="709"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个</w:t>
            </w:r>
          </w:p>
        </w:tc>
        <w:tc>
          <w:tcPr>
            <w:tcW w:w="662" w:type="dxa"/>
            <w:vAlign w:val="center"/>
          </w:tcPr>
          <w:p>
            <w:pPr>
              <w:adjustRightInd w:val="0"/>
              <w:spacing w:line="360" w:lineRule="atLeast"/>
              <w:jc w:val="center"/>
              <w:textAlignment w:val="baseline"/>
              <w:rPr>
                <w:rFonts w:ascii="Arial" w:hAnsi="Arial" w:cs="Arial"/>
                <w:highlight w:val="none"/>
              </w:rPr>
            </w:pPr>
            <w:r>
              <w:rPr>
                <w:rFonts w:hint="eastAsia" w:ascii="Arial" w:hAnsi="Arial" w:cs="Arial"/>
                <w:highlight w:val="none"/>
              </w:rPr>
              <w:t>6</w:t>
            </w:r>
          </w:p>
        </w:tc>
        <w:tc>
          <w:tcPr>
            <w:tcW w:w="1985" w:type="dxa"/>
            <w:vAlign w:val="center"/>
          </w:tcPr>
          <w:p>
            <w:pPr>
              <w:adjustRightInd w:val="0"/>
              <w:spacing w:line="360" w:lineRule="atLeast"/>
              <w:jc w:val="center"/>
              <w:textAlignment w:val="baseline"/>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 w:type="dxa"/>
            <w:vAlign w:val="center"/>
          </w:tcPr>
          <w:p>
            <w:pPr>
              <w:adjustRightInd w:val="0"/>
              <w:spacing w:line="360" w:lineRule="atLeast"/>
              <w:jc w:val="center"/>
              <w:textAlignment w:val="baseline"/>
              <w:rPr>
                <w:rFonts w:ascii="Arial" w:hAnsi="Arial" w:cs="Arial"/>
              </w:rPr>
            </w:pPr>
            <w:r>
              <w:rPr>
                <w:rFonts w:hint="eastAsia" w:ascii="Arial" w:hAnsi="Arial" w:cs="Arial"/>
              </w:rPr>
              <w:t>9</w:t>
            </w:r>
          </w:p>
        </w:tc>
        <w:tc>
          <w:tcPr>
            <w:tcW w:w="1678" w:type="dxa"/>
            <w:vAlign w:val="center"/>
          </w:tcPr>
          <w:p>
            <w:pPr>
              <w:adjustRightInd w:val="0"/>
              <w:spacing w:line="360" w:lineRule="atLeast"/>
              <w:jc w:val="center"/>
              <w:textAlignment w:val="baseline"/>
              <w:rPr>
                <w:rFonts w:ascii="Arial" w:hAnsi="Arial" w:cs="Arial"/>
              </w:rPr>
            </w:pPr>
            <w:r>
              <w:rPr>
                <w:rFonts w:hint="eastAsia" w:ascii="Arial" w:hAnsi="Arial" w:cs="Arial"/>
              </w:rPr>
              <w:t>报警灯</w:t>
            </w:r>
          </w:p>
        </w:tc>
        <w:tc>
          <w:tcPr>
            <w:tcW w:w="3306" w:type="dxa"/>
            <w:vAlign w:val="center"/>
          </w:tcPr>
          <w:p>
            <w:pPr>
              <w:adjustRightInd w:val="0"/>
              <w:spacing w:line="360" w:lineRule="atLeast"/>
              <w:jc w:val="center"/>
              <w:textAlignment w:val="baseline"/>
              <w:rPr>
                <w:rFonts w:ascii="Arial" w:hAnsi="Arial" w:cs="Arial"/>
              </w:rPr>
            </w:pPr>
            <w:r>
              <w:rPr>
                <w:rFonts w:hint="eastAsia" w:ascii="Arial" w:hAnsi="Arial" w:cs="Arial"/>
              </w:rPr>
              <w:t>AC220V</w:t>
            </w:r>
          </w:p>
        </w:tc>
        <w:tc>
          <w:tcPr>
            <w:tcW w:w="709" w:type="dxa"/>
            <w:vAlign w:val="center"/>
          </w:tcPr>
          <w:p>
            <w:pPr>
              <w:adjustRightInd w:val="0"/>
              <w:spacing w:line="360" w:lineRule="atLeast"/>
              <w:jc w:val="center"/>
              <w:textAlignment w:val="baseline"/>
              <w:rPr>
                <w:rFonts w:ascii="Arial" w:hAnsi="Arial" w:cs="Arial"/>
              </w:rPr>
            </w:pPr>
            <w:r>
              <w:rPr>
                <w:rFonts w:hint="eastAsia" w:ascii="Arial" w:hAnsi="Arial" w:cs="Arial"/>
              </w:rPr>
              <w:t>个</w:t>
            </w:r>
          </w:p>
        </w:tc>
        <w:tc>
          <w:tcPr>
            <w:tcW w:w="662" w:type="dxa"/>
            <w:vAlign w:val="center"/>
          </w:tcPr>
          <w:p>
            <w:pPr>
              <w:adjustRightInd w:val="0"/>
              <w:spacing w:line="360" w:lineRule="atLeast"/>
              <w:jc w:val="center"/>
              <w:textAlignment w:val="baseline"/>
              <w:rPr>
                <w:rFonts w:ascii="Arial" w:hAnsi="Arial" w:cs="Arial"/>
              </w:rPr>
            </w:pPr>
            <w:r>
              <w:rPr>
                <w:rFonts w:hint="eastAsia" w:ascii="Arial" w:hAnsi="Arial" w:cs="Arial"/>
              </w:rPr>
              <w:t>1</w:t>
            </w:r>
          </w:p>
        </w:tc>
        <w:tc>
          <w:tcPr>
            <w:tcW w:w="1985" w:type="dxa"/>
            <w:vAlign w:val="center"/>
          </w:tcPr>
          <w:p>
            <w:pPr>
              <w:adjustRightInd w:val="0"/>
              <w:spacing w:line="360" w:lineRule="atLeast"/>
              <w:jc w:val="center"/>
              <w:textAlignment w:val="baseline"/>
              <w:rPr>
                <w:rFonts w:ascii="Arial" w:hAnsi="Arial" w:cs="Arial"/>
              </w:rPr>
            </w:pPr>
            <w:r>
              <w:rPr>
                <w:rFonts w:ascii="Arial" w:hAnsi="Arial" w:cs="Arial"/>
                <w:color w:val="000000"/>
                <w:kern w:val="0"/>
                <w:sz w:val="22"/>
                <w:szCs w:val="22"/>
                <w:lang w:bidi="ar"/>
              </w:rPr>
              <w:t>Twiss</w:t>
            </w:r>
            <w:r>
              <w:rPr>
                <w:rStyle w:val="7"/>
                <w:rFonts w:hint="default" w:ascii="Arial" w:hAnsi="Arial" w:cs="Arial"/>
                <w:lang w:bidi="ar"/>
              </w:rPr>
              <w:t>台塑</w:t>
            </w:r>
            <w:r>
              <w:rPr>
                <w:rFonts w:ascii="Arial" w:hAnsi="Arial" w:cs="Arial"/>
                <w:color w:val="000000"/>
                <w:sz w:val="22"/>
                <w:szCs w:val="22"/>
              </w:rPr>
              <w:t>或同等品牌</w:t>
            </w:r>
          </w:p>
        </w:tc>
      </w:tr>
    </w:tbl>
    <w:p>
      <w:pPr>
        <w:spacing w:line="360" w:lineRule="auto"/>
        <w:rPr>
          <w:rFonts w:ascii="仿宋_GB2312" w:hAnsi="仿宋_GB2312" w:eastAsia="仿宋_GB2312" w:cs="仿宋_GB2312"/>
          <w:b/>
          <w:snapToGrid w:val="0"/>
          <w:sz w:val="32"/>
          <w:szCs w:val="32"/>
        </w:rPr>
      </w:pPr>
      <w:r>
        <w:rPr>
          <w:rFonts w:hint="eastAsia" w:ascii="仿宋_GB2312" w:hAnsi="仿宋_GB2312" w:eastAsia="仿宋_GB2312" w:cs="仿宋_GB2312"/>
          <w:b/>
          <w:snapToGrid w:val="0"/>
          <w:sz w:val="32"/>
          <w:szCs w:val="32"/>
        </w:rPr>
        <w:t>四、主要技术要求</w:t>
      </w:r>
    </w:p>
    <w:p>
      <w:pPr>
        <w:spacing w:line="480" w:lineRule="exact"/>
        <w:ind w:firstLine="562" w:firstLineChars="200"/>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（1）系统功能：</w:t>
      </w:r>
    </w:p>
    <w:p>
      <w:pPr>
        <w:spacing w:line="48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1、控制功能优于一铝现有的能量平衡和物料平衡的铝电解控制系统的功能。</w:t>
      </w:r>
    </w:p>
    <w:p>
      <w:pPr>
        <w:spacing w:line="48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2、智能单点打壳下料，具有单点打壳下料控制命令输出功能</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将新增加的打壳电磁和下料电磁阀集中放置在槽下气控柜中，减少故障率，方便检修。</w:t>
      </w:r>
    </w:p>
    <w:p>
      <w:pPr>
        <w:spacing w:line="48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具备卡锤头、下料口堵料准确报警功能及预处理功能；报警方式包括语音集中报警、报警灯和槽控机醒目显示三种方式，语音报警能播报哪台槽哪个下料点出现卡堵；电子黄色报警灯能远距离提示出现堵料问题的电解槽；槽控机上能醒目显示出现堵料问题的下料点位。</w:t>
      </w:r>
    </w:p>
    <w:p>
      <w:pPr>
        <w:spacing w:line="48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4、智能调节打壳锤头进入电解质内的深度，实现100mm-300mm自动可控。</w:t>
      </w:r>
    </w:p>
    <w:p>
      <w:pPr>
        <w:spacing w:line="48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5、集中控制，具有数据分析功能，系统以工区为单位实现集中监控，提供历史曲线查询、数据存储与处理、报表统计功能、语音报警，并以工区为单位，支持32台槽集中显示下料口状态功能。</w:t>
      </w:r>
    </w:p>
    <w:p>
      <w:pPr>
        <w:spacing w:line="48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w:t>
      </w:r>
      <w:r>
        <w:rPr>
          <w:rFonts w:ascii="仿宋_GB2312" w:hAnsi="仿宋_GB2312" w:eastAsia="仿宋_GB2312" w:cs="仿宋_GB2312"/>
          <w:sz w:val="28"/>
          <w:szCs w:val="28"/>
          <w:highlight w:val="none"/>
        </w:rPr>
        <w:t>具有单点停料功能</w:t>
      </w:r>
      <w:r>
        <w:rPr>
          <w:rFonts w:hint="eastAsia" w:ascii="仿宋_GB2312" w:hAnsi="仿宋_GB2312" w:eastAsia="仿宋_GB2312" w:cs="仿宋_GB2312"/>
          <w:sz w:val="28"/>
          <w:szCs w:val="28"/>
          <w:highlight w:val="none"/>
        </w:rPr>
        <w:t>，</w:t>
      </w:r>
      <w:r>
        <w:rPr>
          <w:rFonts w:ascii="仿宋_GB2312" w:hAnsi="仿宋_GB2312" w:eastAsia="仿宋_GB2312" w:cs="仿宋_GB2312"/>
          <w:sz w:val="28"/>
          <w:szCs w:val="28"/>
          <w:highlight w:val="none"/>
        </w:rPr>
        <w:t>当出现刚换极或其它需要停料的情况</w:t>
      </w:r>
      <w:r>
        <w:rPr>
          <w:rFonts w:hint="eastAsia" w:ascii="仿宋_GB2312" w:hAnsi="仿宋_GB2312" w:eastAsia="仿宋_GB2312" w:cs="仿宋_GB2312"/>
          <w:sz w:val="28"/>
          <w:szCs w:val="28"/>
          <w:highlight w:val="none"/>
        </w:rPr>
        <w:t>，</w:t>
      </w:r>
      <w:r>
        <w:rPr>
          <w:rFonts w:ascii="仿宋_GB2312" w:hAnsi="仿宋_GB2312" w:eastAsia="仿宋_GB2312" w:cs="仿宋_GB2312"/>
          <w:sz w:val="28"/>
          <w:szCs w:val="28"/>
          <w:highlight w:val="none"/>
        </w:rPr>
        <w:t>可以在系统中方便设置指定时间的停料</w:t>
      </w:r>
      <w:r>
        <w:rPr>
          <w:rFonts w:hint="eastAsia" w:ascii="仿宋_GB2312" w:hAnsi="仿宋_GB2312" w:eastAsia="仿宋_GB2312" w:cs="仿宋_GB2312"/>
          <w:sz w:val="28"/>
          <w:szCs w:val="28"/>
          <w:highlight w:val="none"/>
        </w:rPr>
        <w:t>，</w:t>
      </w:r>
      <w:r>
        <w:rPr>
          <w:rFonts w:ascii="仿宋_GB2312" w:hAnsi="仿宋_GB2312" w:eastAsia="仿宋_GB2312" w:cs="仿宋_GB2312"/>
          <w:sz w:val="28"/>
          <w:szCs w:val="28"/>
          <w:highlight w:val="none"/>
        </w:rPr>
        <w:t>并醒目提示</w:t>
      </w:r>
      <w:r>
        <w:rPr>
          <w:rFonts w:hint="eastAsia" w:ascii="仿宋_GB2312" w:hAnsi="仿宋_GB2312" w:eastAsia="仿宋_GB2312" w:cs="仿宋_GB2312"/>
          <w:sz w:val="28"/>
          <w:szCs w:val="28"/>
          <w:highlight w:val="none"/>
        </w:rPr>
        <w:t>；当系统检测下料口堵料时，自动停料，或减少下料频次，该下料口畅通后自动恢复正常下料。当系统检测下料口连续多次堵料，自动调整下料控制策略，实现柔性物料控制。</w:t>
      </w:r>
    </w:p>
    <w:p>
      <w:pPr>
        <w:spacing w:line="48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7、当发生卡锤头或处理火眼堵料失败时，能够实现自动智能补打，补打次数根据使用效果及现场情况而定；若补打动作到一定次数仍不能打壳成功，则自动报警，由人工处理。</w:t>
      </w:r>
    </w:p>
    <w:p>
      <w:pPr>
        <w:spacing w:line="48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8、与智能打壳系统相关的参数能根据现场变化情况实现自动调节功能，确保控制效果的实现。</w:t>
      </w:r>
    </w:p>
    <w:p>
      <w:pPr>
        <w:spacing w:line="48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9、可实现对智能打壳下料气缸的单点控制或多点任意组合控制。</w:t>
      </w:r>
    </w:p>
    <w:p>
      <w:pPr>
        <w:spacing w:line="480" w:lineRule="exact"/>
        <w:ind w:firstLine="560" w:firstLineChars="200"/>
        <w:rPr>
          <w:rFonts w:ascii="仿宋_GB2312" w:hAnsi="仿宋_GB2312" w:eastAsia="仿宋_GB2312" w:cs="仿宋_GB2312"/>
          <w:color w:val="FF0000"/>
          <w:sz w:val="28"/>
          <w:szCs w:val="28"/>
          <w:highlight w:val="none"/>
        </w:rPr>
      </w:pPr>
      <w:r>
        <w:rPr>
          <w:rFonts w:hint="eastAsia" w:ascii="仿宋_GB2312" w:hAnsi="仿宋_GB2312" w:eastAsia="仿宋_GB2312" w:cs="仿宋_GB2312"/>
          <w:sz w:val="28"/>
          <w:szCs w:val="28"/>
          <w:highlight w:val="none"/>
        </w:rPr>
        <w:t>10、系统具有故障自诊断功能，并能提示故障。</w:t>
      </w:r>
    </w:p>
    <w:p>
      <w:pPr>
        <w:spacing w:line="480" w:lineRule="exact"/>
        <w:ind w:firstLine="562" w:firstLineChars="200"/>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（2）系统安装要求</w:t>
      </w:r>
    </w:p>
    <w:p>
      <w:pPr>
        <w:spacing w:line="4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highlight w:val="none"/>
        </w:rPr>
        <w:t>1、</w:t>
      </w:r>
      <w:r>
        <w:rPr>
          <w:rFonts w:ascii="仿宋_GB2312" w:hAnsi="仿宋_GB2312" w:eastAsia="仿宋_GB2312" w:cs="仿宋_GB2312"/>
          <w:sz w:val="28"/>
          <w:szCs w:val="28"/>
          <w:highlight w:val="none"/>
        </w:rPr>
        <w:t>二位三通电磁阀和二位四通电磁阀：电磁阀主体和阀芯采</w:t>
      </w:r>
      <w:r>
        <w:rPr>
          <w:rFonts w:ascii="仿宋_GB2312" w:hAnsi="仿宋_GB2312" w:eastAsia="仿宋_GB2312" w:cs="仿宋_GB2312"/>
          <w:sz w:val="28"/>
          <w:szCs w:val="28"/>
        </w:rPr>
        <w:t>用铜合金材质，线圈功能满足</w:t>
      </w:r>
      <w:r>
        <w:rPr>
          <w:rFonts w:hint="eastAsia" w:ascii="仿宋_GB2312" w:hAnsi="仿宋_GB2312" w:eastAsia="仿宋_GB2312" w:cs="仿宋_GB2312"/>
          <w:sz w:val="28"/>
          <w:szCs w:val="28"/>
        </w:rPr>
        <w:t>33</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k</w:t>
      </w:r>
      <w:r>
        <w:rPr>
          <w:rFonts w:ascii="仿宋_GB2312" w:hAnsi="仿宋_GB2312" w:eastAsia="仿宋_GB2312" w:cs="仿宋_GB2312"/>
          <w:sz w:val="28"/>
          <w:szCs w:val="28"/>
        </w:rPr>
        <w:t>A电解槽生产现场强磁场工作能力，电磁阀带消音装置</w:t>
      </w:r>
      <w:r>
        <w:rPr>
          <w:rFonts w:hint="eastAsia" w:ascii="仿宋_GB2312" w:hAnsi="仿宋_GB2312" w:eastAsia="仿宋_GB2312" w:cs="仿宋_GB2312"/>
          <w:sz w:val="28"/>
          <w:szCs w:val="28"/>
        </w:rPr>
        <w:t>和鞍山电磁阀通用，维修更换方便。</w:t>
      </w:r>
    </w:p>
    <w:p>
      <w:pPr>
        <w:spacing w:line="4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传感器采用防腐、防尘、防震动、带信号线一体封装形式的传感器，在主气管位置进行安装，采用航空插头与槽上线路连接，不影响气缸拆卸检修，传感器及其它附件走线符合电气行业规范，对地绝缘符合现场标准。</w:t>
      </w:r>
    </w:p>
    <w:p>
      <w:pPr>
        <w:spacing w:line="4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3、传感器、电磁阀及控制系统各元器件必须选用优质、可靠、不易损坏的元件，必须符合招标现场环境，故障率低。</w:t>
      </w:r>
    </w:p>
    <w:p>
      <w:pPr>
        <w:spacing w:line="4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4、电磁阀、传感器及其他附件布线必须符合电气行业技术规范，尺寸满足阀体与管线绝缘需要。</w:t>
      </w:r>
    </w:p>
    <w:p>
      <w:pPr>
        <w:spacing w:line="4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5、智能控制系统内各电气元器件必须选用大品牌正规厂家产品，智能系统改造所有电缆采用耐高温电缆，智能控制系统与槽控机有</w:t>
      </w:r>
      <w:r>
        <w:rPr>
          <w:rFonts w:hint="eastAsia" w:ascii="仿宋_GB2312" w:hAnsi="仿宋_GB2312" w:eastAsia="仿宋_GB2312" w:cs="仿宋_GB2312"/>
          <w:sz w:val="28"/>
          <w:szCs w:val="28"/>
          <w:lang w:eastAsia="zh-CN"/>
        </w:rPr>
        <w:t>机</w:t>
      </w:r>
      <w:r>
        <w:rPr>
          <w:rFonts w:hint="eastAsia" w:ascii="仿宋_GB2312" w:hAnsi="仿宋_GB2312" w:eastAsia="仿宋_GB2312" w:cs="仿宋_GB2312"/>
          <w:sz w:val="28"/>
          <w:szCs w:val="28"/>
        </w:rPr>
        <w:t>结合，箱体厚度：1.5mm冷轧，保证漆面不脱落，箱体密封、防尘效果良好。</w:t>
      </w:r>
    </w:p>
    <w:p>
      <w:pPr>
        <w:spacing w:line="48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控制效果</w:t>
      </w:r>
    </w:p>
    <w:p>
      <w:pPr>
        <w:spacing w:line="480" w:lineRule="exact"/>
        <w:ind w:left="56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下料口状态报警准确率≥9</w:t>
      </w:r>
      <w:r>
        <w:rPr>
          <w:rFonts w:hint="eastAsia" w:ascii="仿宋_GB2312" w:hAnsi="仿宋_GB2312" w:eastAsia="仿宋_GB2312" w:cs="仿宋_GB2312"/>
          <w:sz w:val="28"/>
          <w:szCs w:val="28"/>
          <w:lang w:val="en-US" w:eastAsia="zh-CN"/>
        </w:rPr>
        <w:t>0</w:t>
      </w:r>
      <w:bookmarkStart w:id="0" w:name="_GoBack"/>
      <w:bookmarkEnd w:id="0"/>
      <w:r>
        <w:rPr>
          <w:rFonts w:hint="eastAsia" w:ascii="仿宋_GB2312" w:hAnsi="仿宋_GB2312" w:eastAsia="仿宋_GB2312" w:cs="仿宋_GB2312"/>
          <w:sz w:val="28"/>
          <w:szCs w:val="28"/>
        </w:rPr>
        <w:t>%；</w:t>
      </w:r>
    </w:p>
    <w:p>
      <w:pPr>
        <w:spacing w:line="480" w:lineRule="exact"/>
        <w:ind w:left="56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减少打壳锤头结包，粘包率≤</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p>
    <w:p>
      <w:pPr>
        <w:spacing w:line="480" w:lineRule="exact"/>
        <w:ind w:left="56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、可以</w:t>
      </w:r>
      <w:r>
        <w:rPr>
          <w:rFonts w:hint="eastAsia" w:ascii="仿宋_GB2312" w:hAnsi="仿宋_GB2312" w:eastAsia="仿宋_GB2312" w:cs="仿宋_GB2312"/>
          <w:sz w:val="28"/>
          <w:szCs w:val="28"/>
        </w:rPr>
        <w:t>减轻工人劳动强度</w:t>
      </w:r>
      <w:r>
        <w:rPr>
          <w:rFonts w:hint="eastAsia" w:ascii="仿宋_GB2312" w:hAnsi="仿宋_GB2312" w:eastAsia="仿宋_GB2312" w:cs="仿宋_GB2312"/>
          <w:sz w:val="28"/>
          <w:szCs w:val="28"/>
          <w:lang w:eastAsia="zh-CN"/>
        </w:rPr>
        <w:t>；</w:t>
      </w:r>
    </w:p>
    <w:p>
      <w:pPr>
        <w:spacing w:line="480" w:lineRule="exact"/>
        <w:ind w:left="56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按需打壳，可延长锤头使用寿命20%；</w:t>
      </w:r>
    </w:p>
    <w:p>
      <w:pPr>
        <w:spacing w:line="480" w:lineRule="exact"/>
        <w:ind w:left="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无需打开槽盖板巡视下料口，减少氟化氢、co2等气体无组织排放。</w:t>
      </w:r>
    </w:p>
    <w:p>
      <w:pPr>
        <w:rPr>
          <w:rFonts w:ascii="Arial" w:hAnsi="Arial" w:cs="Arial"/>
          <w:b/>
          <w:kern w:val="0"/>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635B79"/>
    <w:multiLevelType w:val="multilevel"/>
    <w:tmpl w:val="44635B79"/>
    <w:lvl w:ilvl="0" w:tentative="0">
      <w:start w:val="1"/>
      <w:numFmt w:val="decimal"/>
      <w:suff w:val="space"/>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B4C66"/>
    <w:rsid w:val="000A1E72"/>
    <w:rsid w:val="00130D13"/>
    <w:rsid w:val="002F3524"/>
    <w:rsid w:val="002F4BC0"/>
    <w:rsid w:val="004334F0"/>
    <w:rsid w:val="006438A5"/>
    <w:rsid w:val="007F0098"/>
    <w:rsid w:val="009858BC"/>
    <w:rsid w:val="00A06F0B"/>
    <w:rsid w:val="00BF169B"/>
    <w:rsid w:val="04185A41"/>
    <w:rsid w:val="06F763A1"/>
    <w:rsid w:val="0DBA1A50"/>
    <w:rsid w:val="22277DB8"/>
    <w:rsid w:val="3BEB4C66"/>
    <w:rsid w:val="5308121A"/>
    <w:rsid w:val="6BE019A8"/>
    <w:rsid w:val="700A5DDD"/>
    <w:rsid w:val="743D0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81"/>
    <w:qFormat/>
    <w:uiPriority w:val="0"/>
    <w:rPr>
      <w:rFonts w:hint="default" w:ascii="Times New Roman" w:hAnsi="Times New Roman" w:cs="Times New Roman"/>
      <w:color w:val="000000"/>
      <w:sz w:val="22"/>
      <w:szCs w:val="22"/>
      <w:u w:val="none"/>
    </w:rPr>
  </w:style>
  <w:style w:type="character" w:customStyle="1" w:styleId="7">
    <w:name w:val="font71"/>
    <w:qFormat/>
    <w:uiPriority w:val="0"/>
    <w:rPr>
      <w:rFonts w:hint="eastAsia" w:ascii="宋体" w:hAnsi="宋体" w:eastAsia="宋体" w:cs="宋体"/>
      <w:color w:val="000000"/>
      <w:sz w:val="22"/>
      <w:szCs w:val="22"/>
      <w:u w:val="none"/>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388</Words>
  <Characters>2212</Characters>
  <Lines>18</Lines>
  <Paragraphs>5</Paragraphs>
  <TotalTime>126</TotalTime>
  <ScaleCrop>false</ScaleCrop>
  <LinksUpToDate>false</LinksUpToDate>
  <CharactersWithSpaces>2595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2021-03-31T00:41:00Z</dcterms:created>
  <dc:creator>永恒</dc:creator>
  <cp:lastModifiedBy>永恒</cp:lastModifiedBy>
  <cp:lastPrinted>2021-04-01T01:17:58Z</cp:lastPrinted>
  <dcterms:modified xsi:type="dcterms:W3CDTF">2021-04-01T01:43:33Z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23822ADD6E124F54AFB1A883370942E9</vt:lpwstr>
  </property>
</Properties>
</file>