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C915">
      <w:pPr>
        <w:keepNext w:val="0"/>
        <w:keepLines w:val="0"/>
        <w:pageBreakBefore w:val="0"/>
        <w:widowControl w:val="0"/>
        <w:kinsoku/>
        <w:wordWrap/>
        <w:overflowPunct/>
        <w:topLinePunct w:val="0"/>
        <w:autoSpaceDE/>
        <w:autoSpaceDN/>
        <w:bidi w:val="0"/>
        <w:adjustRightInd/>
        <w:snapToGrid/>
        <w:spacing w:before="480" w:after="480" w:line="600" w:lineRule="exact"/>
        <w:ind w:left="0"/>
        <w:jc w:val="center"/>
        <w:textAlignment w:val="auto"/>
        <w:rPr>
          <w:rFonts w:hint="eastAsia" w:ascii="方正小标宋简体" w:hAnsi="方正小标宋简体" w:eastAsia="方正小标宋简体" w:cs="方正小标宋简体"/>
          <w:b/>
          <w:sz w:val="52"/>
        </w:rPr>
      </w:pPr>
    </w:p>
    <w:p w14:paraId="372DB2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万基铝业（新疆）有限公司58万吨电解铝建设项目</w:t>
      </w:r>
      <w:r>
        <w:rPr>
          <w:rFonts w:hint="eastAsia" w:ascii="黑体" w:hAnsi="黑体" w:eastAsia="黑体" w:cs="黑体"/>
          <w:b w:val="0"/>
          <w:bCs w:val="0"/>
          <w:sz w:val="43"/>
          <w:szCs w:val="43"/>
          <w:lang w:eastAsia="zh-CN"/>
        </w:rPr>
        <w:t>沉降观测及深基坑监测</w:t>
      </w:r>
      <w:r>
        <w:rPr>
          <w:rFonts w:hint="eastAsia" w:ascii="黑体" w:hAnsi="黑体" w:eastAsia="黑体" w:cs="黑体"/>
          <w:b w:val="0"/>
          <w:bCs w:val="0"/>
          <w:sz w:val="43"/>
          <w:szCs w:val="43"/>
        </w:rPr>
        <w:t>服务</w:t>
      </w:r>
      <w:r>
        <w:rPr>
          <w:rFonts w:hint="eastAsia" w:ascii="黑体" w:hAnsi="黑体" w:eastAsia="黑体" w:cs="黑体"/>
          <w:b w:val="0"/>
          <w:bCs w:val="0"/>
          <w:sz w:val="43"/>
          <w:szCs w:val="43"/>
          <w:lang w:val="en-US" w:eastAsia="zh-CN"/>
        </w:rPr>
        <w:t xml:space="preserve">        </w:t>
      </w:r>
    </w:p>
    <w:p w14:paraId="798CE9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val="en-US" w:eastAsia="zh-CN"/>
        </w:rPr>
      </w:pPr>
    </w:p>
    <w:p w14:paraId="4DEB415B">
      <w:pPr>
        <w:pStyle w:val="2"/>
        <w:spacing w:line="1000" w:lineRule="exact"/>
        <w:ind w:left="0" w:leftChars="0" w:firstLine="0" w:firstLineChars="0"/>
        <w:rPr>
          <w:rFonts w:hint="eastAsia" w:ascii="黑体" w:eastAsia="黑体"/>
          <w:sz w:val="72"/>
          <w:szCs w:val="72"/>
          <w:highlight w:val="none"/>
        </w:rPr>
      </w:pPr>
    </w:p>
    <w:p w14:paraId="189B5352">
      <w:pPr>
        <w:pStyle w:val="2"/>
        <w:spacing w:line="1000" w:lineRule="exact"/>
        <w:jc w:val="center"/>
        <w:rPr>
          <w:rFonts w:hint="eastAsia" w:ascii="黑体" w:eastAsia="黑体"/>
          <w:sz w:val="72"/>
          <w:szCs w:val="72"/>
          <w:highlight w:val="none"/>
        </w:rPr>
      </w:pPr>
      <w:r>
        <w:rPr>
          <w:rFonts w:hint="eastAsia" w:ascii="黑体" w:eastAsia="黑体"/>
          <w:sz w:val="72"/>
          <w:szCs w:val="72"/>
          <w:highlight w:val="none"/>
          <w:lang w:val="en-US" w:eastAsia="zh-CN"/>
        </w:rPr>
        <w:t>招标</w:t>
      </w:r>
      <w:r>
        <w:rPr>
          <w:rFonts w:hint="eastAsia" w:ascii="黑体" w:eastAsia="黑体"/>
          <w:sz w:val="72"/>
          <w:szCs w:val="72"/>
          <w:highlight w:val="none"/>
          <w:lang w:eastAsia="zh-CN"/>
        </w:rPr>
        <w:t>文件</w:t>
      </w:r>
    </w:p>
    <w:p w14:paraId="2A1A06B6">
      <w:pPr>
        <w:pStyle w:val="2"/>
        <w:rPr>
          <w:rFonts w:hint="eastAsia" w:ascii="楷体_GB2312" w:eastAsia="楷体_GB2312"/>
          <w:b/>
          <w:sz w:val="32"/>
          <w:highlight w:val="none"/>
        </w:rPr>
      </w:pPr>
    </w:p>
    <w:p w14:paraId="7CCCDAF8">
      <w:pPr>
        <w:pStyle w:val="2"/>
        <w:jc w:val="center"/>
        <w:rPr>
          <w:rFonts w:hint="default" w:ascii="楷体_GB2312" w:eastAsia="楷体_GB2312"/>
          <w:b/>
          <w:sz w:val="32"/>
          <w:highlight w:val="none"/>
          <w:lang w:val="en-US" w:eastAsia="zh-CN"/>
        </w:rPr>
      </w:pPr>
      <w:r>
        <w:rPr>
          <w:highlight w:val="none"/>
        </w:rPr>
        <w:drawing>
          <wp:inline distT="0" distB="0" distL="114300" distR="114300">
            <wp:extent cx="1081405" cy="72263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081405" cy="722630"/>
                    </a:xfrm>
                    <a:prstGeom prst="rect">
                      <a:avLst/>
                    </a:prstGeom>
                    <a:noFill/>
                    <a:ln>
                      <a:noFill/>
                    </a:ln>
                  </pic:spPr>
                </pic:pic>
              </a:graphicData>
            </a:graphic>
          </wp:inline>
        </w:drawing>
      </w:r>
    </w:p>
    <w:p w14:paraId="31FE08F1">
      <w:pPr>
        <w:keepNext w:val="0"/>
        <w:keepLines w:val="0"/>
        <w:pageBreakBefore w:val="0"/>
        <w:widowControl w:val="0"/>
        <w:kinsoku/>
        <w:wordWrap/>
        <w:overflowPunct/>
        <w:topLinePunct w:val="0"/>
        <w:autoSpaceDE/>
        <w:autoSpaceDN/>
        <w:bidi w:val="0"/>
        <w:adjustRightInd/>
        <w:snapToGrid/>
        <w:spacing w:before="480" w:after="480" w:line="700" w:lineRule="exact"/>
        <w:ind w:left="0"/>
        <w:jc w:val="center"/>
        <w:textAlignment w:val="auto"/>
        <w:rPr>
          <w:rFonts w:hint="eastAsia" w:ascii="黑体" w:hAnsi="黑体" w:eastAsia="黑体" w:cs="黑体"/>
          <w:b/>
          <w:sz w:val="44"/>
          <w:szCs w:val="44"/>
        </w:rPr>
      </w:pPr>
    </w:p>
    <w:p w14:paraId="743CFCFE">
      <w:pPr>
        <w:spacing w:before="120" w:after="120" w:line="288" w:lineRule="auto"/>
        <w:ind w:left="0"/>
        <w:jc w:val="left"/>
        <w:rPr>
          <w:rFonts w:ascii="Arial" w:hAnsi="Arial" w:eastAsia="等线" w:cs="Arial"/>
          <w:b/>
          <w:sz w:val="22"/>
        </w:rPr>
      </w:pPr>
    </w:p>
    <w:p w14:paraId="09EAF646">
      <w:pPr>
        <w:spacing w:before="120" w:after="120" w:line="288" w:lineRule="auto"/>
        <w:ind w:left="0"/>
        <w:jc w:val="left"/>
        <w:rPr>
          <w:rFonts w:ascii="Arial" w:hAnsi="Arial" w:eastAsia="等线" w:cs="Arial"/>
          <w:b/>
          <w:sz w:val="22"/>
        </w:rPr>
      </w:pPr>
    </w:p>
    <w:p w14:paraId="421EA0DD">
      <w:pPr>
        <w:spacing w:before="120" w:after="120" w:line="288" w:lineRule="auto"/>
        <w:ind w:left="0"/>
        <w:jc w:val="left"/>
        <w:rPr>
          <w:rFonts w:ascii="Arial" w:hAnsi="Arial" w:eastAsia="等线" w:cs="Arial"/>
          <w:b/>
          <w:sz w:val="22"/>
        </w:rPr>
      </w:pPr>
    </w:p>
    <w:p w14:paraId="77288990">
      <w:pPr>
        <w:spacing w:before="120" w:after="120" w:line="288" w:lineRule="auto"/>
        <w:ind w:left="0"/>
        <w:jc w:val="left"/>
        <w:rPr>
          <w:rFonts w:ascii="Arial" w:hAnsi="Arial" w:eastAsia="等线" w:cs="Arial"/>
          <w:b/>
          <w:sz w:val="22"/>
        </w:rPr>
      </w:pPr>
    </w:p>
    <w:p w14:paraId="0E5A15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p>
    <w:p w14:paraId="05978B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lang w:eastAsia="zh-CN"/>
        </w:rPr>
        <w:t>项目编号：WJ</w:t>
      </w:r>
      <w:r>
        <w:rPr>
          <w:rFonts w:hint="eastAsia" w:ascii="黑体" w:hAnsi="黑体" w:eastAsia="黑体" w:cs="黑体"/>
          <w:b w:val="0"/>
          <w:bCs w:val="0"/>
          <w:sz w:val="43"/>
          <w:szCs w:val="43"/>
          <w:lang w:val="en-US" w:eastAsia="zh-CN"/>
        </w:rPr>
        <w:t>LY</w:t>
      </w:r>
      <w:r>
        <w:rPr>
          <w:rFonts w:hint="eastAsia" w:ascii="黑体" w:hAnsi="黑体" w:eastAsia="黑体" w:cs="黑体"/>
          <w:b w:val="0"/>
          <w:bCs w:val="0"/>
          <w:sz w:val="43"/>
          <w:szCs w:val="43"/>
          <w:lang w:eastAsia="zh-CN"/>
        </w:rPr>
        <w:t>XJ-</w:t>
      </w:r>
      <w:r>
        <w:rPr>
          <w:rFonts w:hint="eastAsia" w:ascii="黑体" w:hAnsi="黑体" w:eastAsia="黑体" w:cs="黑体"/>
          <w:b w:val="0"/>
          <w:bCs w:val="0"/>
          <w:sz w:val="43"/>
          <w:szCs w:val="43"/>
          <w:lang w:val="en-US" w:eastAsia="zh-CN"/>
        </w:rPr>
        <w:t>ZXZB</w:t>
      </w:r>
      <w:r>
        <w:rPr>
          <w:rFonts w:hint="eastAsia" w:ascii="黑体" w:hAnsi="黑体" w:eastAsia="黑体" w:cs="黑体"/>
          <w:b w:val="0"/>
          <w:bCs w:val="0"/>
          <w:sz w:val="43"/>
          <w:szCs w:val="43"/>
          <w:lang w:eastAsia="zh-CN"/>
        </w:rPr>
        <w:t>-2026-001</w:t>
      </w:r>
    </w:p>
    <w:p w14:paraId="4F11C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lang w:eastAsia="zh-CN"/>
        </w:rPr>
        <w:t>招标人：万基铝业（新疆）有限公司</w:t>
      </w:r>
    </w:p>
    <w:p w14:paraId="2AE2E7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lang w:eastAsia="zh-CN"/>
        </w:rPr>
        <w:t>编制日期：2026年</w:t>
      </w:r>
      <w:r>
        <w:rPr>
          <w:rFonts w:hint="eastAsia" w:ascii="黑体" w:hAnsi="黑体" w:eastAsia="黑体" w:cs="黑体"/>
          <w:b w:val="0"/>
          <w:bCs w:val="0"/>
          <w:sz w:val="43"/>
          <w:szCs w:val="43"/>
          <w:lang w:val="en-US" w:eastAsia="zh-CN"/>
        </w:rPr>
        <w:t>6</w:t>
      </w:r>
      <w:r>
        <w:rPr>
          <w:rFonts w:hint="eastAsia" w:ascii="黑体" w:hAnsi="黑体" w:eastAsia="黑体" w:cs="黑体"/>
          <w:b w:val="0"/>
          <w:bCs w:val="0"/>
          <w:sz w:val="43"/>
          <w:szCs w:val="43"/>
          <w:lang w:eastAsia="zh-CN"/>
        </w:rPr>
        <w:t>月</w:t>
      </w:r>
      <w:r>
        <w:rPr>
          <w:rFonts w:hint="eastAsia" w:ascii="黑体" w:hAnsi="黑体" w:eastAsia="黑体" w:cs="黑体"/>
          <w:b w:val="0"/>
          <w:bCs w:val="0"/>
          <w:sz w:val="43"/>
          <w:szCs w:val="43"/>
          <w:lang w:val="en-US" w:eastAsia="zh-CN"/>
        </w:rPr>
        <w:t>29</w:t>
      </w:r>
      <w:r>
        <w:rPr>
          <w:rFonts w:hint="eastAsia" w:ascii="黑体" w:hAnsi="黑体" w:eastAsia="黑体" w:cs="黑体"/>
          <w:b w:val="0"/>
          <w:bCs w:val="0"/>
          <w:sz w:val="43"/>
          <w:szCs w:val="43"/>
          <w:lang w:eastAsia="zh-CN"/>
        </w:rPr>
        <w:t>日</w:t>
      </w:r>
    </w:p>
    <w:p w14:paraId="730F02C1">
      <w:pPr>
        <w:spacing w:before="320" w:after="120" w:line="288" w:lineRule="auto"/>
        <w:ind w:left="0"/>
        <w:jc w:val="left"/>
        <w:outlineLvl w:val="1"/>
        <w:rPr>
          <w:rFonts w:ascii="Arial" w:hAnsi="Arial" w:eastAsia="等线" w:cs="Arial"/>
          <w:b/>
          <w:sz w:val="32"/>
        </w:rPr>
      </w:pPr>
      <w:bookmarkStart w:id="0" w:name="heading_0"/>
    </w:p>
    <w:p w14:paraId="1F072347">
      <w:pPr>
        <w:spacing w:before="320" w:after="120" w:line="288" w:lineRule="auto"/>
        <w:ind w:left="0"/>
        <w:jc w:val="left"/>
        <w:outlineLvl w:val="1"/>
        <w:rPr>
          <w:rFonts w:ascii="Arial" w:hAnsi="Arial" w:eastAsia="等线" w:cs="Arial"/>
          <w:b/>
          <w:sz w:val="32"/>
        </w:rPr>
      </w:pPr>
    </w:p>
    <w:bookmarkEnd w:id="0"/>
    <w:p w14:paraId="30BAFA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bookmarkStart w:id="1" w:name="heading_1"/>
      <w:r>
        <w:rPr>
          <w:rFonts w:hint="eastAsia" w:ascii="黑体" w:hAnsi="黑体" w:eastAsia="黑体" w:cs="黑体"/>
          <w:b w:val="0"/>
          <w:bCs w:val="0"/>
          <w:sz w:val="43"/>
          <w:szCs w:val="43"/>
        </w:rPr>
        <w:t>第一章 招标公告</w:t>
      </w:r>
      <w:bookmarkEnd w:id="1"/>
    </w:p>
    <w:p w14:paraId="7BB2A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bookmarkStart w:id="2" w:name="heading_2"/>
      <w:r>
        <w:rPr>
          <w:rFonts w:hint="eastAsia" w:ascii="黑体" w:hAnsi="黑体" w:eastAsia="黑体" w:cs="黑体"/>
          <w:b w:val="0"/>
          <w:bCs w:val="0"/>
          <w:sz w:val="43"/>
          <w:szCs w:val="43"/>
        </w:rPr>
        <w:t>万基铝业（新疆）有限公司58万吨电解铝建设项目</w:t>
      </w:r>
      <w:r>
        <w:rPr>
          <w:rFonts w:hint="eastAsia" w:ascii="黑体" w:hAnsi="黑体" w:eastAsia="黑体" w:cs="黑体"/>
          <w:b w:val="0"/>
          <w:bCs w:val="0"/>
          <w:sz w:val="43"/>
          <w:szCs w:val="43"/>
          <w:lang w:eastAsia="zh-CN"/>
        </w:rPr>
        <w:t>沉降观测及深基坑监测</w:t>
      </w:r>
      <w:r>
        <w:rPr>
          <w:rFonts w:hint="eastAsia" w:ascii="黑体" w:hAnsi="黑体" w:eastAsia="黑体" w:cs="黑体"/>
          <w:b w:val="0"/>
          <w:bCs w:val="0"/>
          <w:sz w:val="43"/>
          <w:szCs w:val="43"/>
        </w:rPr>
        <w:t>服务公开招标公告</w:t>
      </w:r>
      <w:bookmarkEnd w:id="2"/>
    </w:p>
    <w:p w14:paraId="79BD8A67">
      <w:pPr>
        <w:keepNext w:val="0"/>
        <w:keepLines w:val="0"/>
        <w:pageBreakBefore w:val="0"/>
        <w:widowControl w:val="0"/>
        <w:kinsoku/>
        <w:wordWrap/>
        <w:overflowPunct/>
        <w:topLinePunct w:val="0"/>
        <w:autoSpaceDE/>
        <w:autoSpaceDN/>
        <w:bidi w:val="0"/>
        <w:adjustRightInd/>
        <w:snapToGrid/>
        <w:spacing w:before="260" w:after="120" w:line="440" w:lineRule="exact"/>
        <w:ind w:left="0"/>
        <w:jc w:val="left"/>
        <w:textAlignment w:val="auto"/>
        <w:outlineLvl w:val="3"/>
        <w:rPr>
          <w:rFonts w:hint="eastAsia" w:ascii="方正仿宋_GB2312" w:hAnsi="方正仿宋_GB2312" w:eastAsia="方正仿宋_GB2312" w:cs="方正仿宋_GB2312"/>
          <w:sz w:val="32"/>
          <w:szCs w:val="32"/>
        </w:rPr>
      </w:pPr>
      <w:bookmarkStart w:id="3" w:name="heading_3"/>
      <w:r>
        <w:rPr>
          <w:rFonts w:hint="eastAsia" w:ascii="方正仿宋_GB2312" w:hAnsi="方正仿宋_GB2312" w:eastAsia="方正仿宋_GB2312" w:cs="方正仿宋_GB2312"/>
          <w:b/>
          <w:bCs w:val="0"/>
          <w:sz w:val="32"/>
          <w:szCs w:val="32"/>
        </w:rPr>
        <w:t>一、招标条件</w:t>
      </w:r>
      <w:bookmarkEnd w:id="3"/>
    </w:p>
    <w:p w14:paraId="40435B49">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58万吨电解铝建设项目已完成审批，建设资金来自企业自筹，资金已足额到位。招标人为万基铝业（新疆）有限公司，现对该项目沉降观测及深基坑监测服务开展自主公开招标，欢迎符合资格条件的单位参与投标。</w:t>
      </w:r>
    </w:p>
    <w:p w14:paraId="61F7AC16">
      <w:pPr>
        <w:keepNext w:val="0"/>
        <w:keepLines w:val="0"/>
        <w:pageBreakBefore w:val="0"/>
        <w:widowControl w:val="0"/>
        <w:kinsoku/>
        <w:wordWrap/>
        <w:overflowPunct/>
        <w:topLinePunct w:val="0"/>
        <w:autoSpaceDE/>
        <w:autoSpaceDN/>
        <w:bidi w:val="0"/>
        <w:adjustRightInd/>
        <w:snapToGrid/>
        <w:spacing w:before="260" w:after="120" w:line="440" w:lineRule="exact"/>
        <w:ind w:left="0"/>
        <w:jc w:val="left"/>
        <w:textAlignment w:val="auto"/>
        <w:outlineLvl w:val="3"/>
        <w:rPr>
          <w:rFonts w:hint="eastAsia" w:ascii="方正仿宋_GB2312" w:hAnsi="方正仿宋_GB2312" w:eastAsia="方正仿宋_GB2312" w:cs="方正仿宋_GB2312"/>
          <w:b/>
          <w:bCs w:val="0"/>
          <w:sz w:val="32"/>
          <w:szCs w:val="32"/>
        </w:rPr>
      </w:pPr>
      <w:bookmarkStart w:id="4" w:name="heading_4"/>
      <w:r>
        <w:rPr>
          <w:rFonts w:hint="eastAsia" w:ascii="方正仿宋_GB2312" w:hAnsi="方正仿宋_GB2312" w:eastAsia="方正仿宋_GB2312" w:cs="方正仿宋_GB2312"/>
          <w:b/>
          <w:bCs w:val="0"/>
          <w:sz w:val="32"/>
          <w:szCs w:val="32"/>
        </w:rPr>
        <w:t>二、项目概况与招标范围</w:t>
      </w:r>
      <w:bookmarkEnd w:id="4"/>
    </w:p>
    <w:p w14:paraId="27274155">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eastAsia="zh-CN"/>
        </w:rPr>
        <w:t>项目地点</w:t>
      </w:r>
      <w:r>
        <w:rPr>
          <w:rFonts w:hint="eastAsia" w:ascii="方正仿宋_GB2312" w:hAnsi="方正仿宋_GB2312" w:eastAsia="方正仿宋_GB2312" w:cs="方正仿宋_GB2312"/>
          <w:sz w:val="32"/>
          <w:szCs w:val="32"/>
          <w:lang w:eastAsia="zh-CN"/>
        </w:rPr>
        <w:t>：新疆</w:t>
      </w:r>
      <w:r>
        <w:rPr>
          <w:rFonts w:hint="eastAsia" w:ascii="方正仿宋_GB2312" w:hAnsi="方正仿宋_GB2312" w:eastAsia="方正仿宋_GB2312" w:cs="方正仿宋_GB2312"/>
          <w:sz w:val="32"/>
          <w:szCs w:val="32"/>
          <w:lang w:val="en-US" w:eastAsia="zh-CN"/>
        </w:rPr>
        <w:t>生产建设</w:t>
      </w:r>
      <w:r>
        <w:rPr>
          <w:rFonts w:hint="eastAsia" w:ascii="方正仿宋_GB2312" w:hAnsi="方正仿宋_GB2312" w:eastAsia="方正仿宋_GB2312" w:cs="方正仿宋_GB2312"/>
          <w:sz w:val="32"/>
          <w:szCs w:val="32"/>
          <w:lang w:eastAsia="zh-CN"/>
        </w:rPr>
        <w:t>兵团第十三师新星市新星经济技术开发区骆驼圈子产业园</w:t>
      </w:r>
    </w:p>
    <w:p w14:paraId="47D46F83">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项目概况</w:t>
      </w:r>
      <w:r>
        <w:rPr>
          <w:rFonts w:hint="eastAsia" w:ascii="方正仿宋_GB2312" w:hAnsi="方正仿宋_GB2312" w:eastAsia="方正仿宋_GB2312" w:cs="方正仿宋_GB2312"/>
          <w:sz w:val="32"/>
          <w:szCs w:val="32"/>
          <w:lang w:eastAsia="zh-CN"/>
        </w:rPr>
        <w:t>：万基铝业（新疆）有限公司58万吨电解铝建设项目</w:t>
      </w:r>
      <w:r>
        <w:rPr>
          <w:rFonts w:hint="eastAsia" w:ascii="方正仿宋_GB2312" w:hAnsi="方正仿宋_GB2312" w:eastAsia="方正仿宋_GB2312" w:cs="方正仿宋_GB2312"/>
          <w:sz w:val="32"/>
          <w:szCs w:val="32"/>
          <w:lang w:val="en-US" w:eastAsia="zh-CN"/>
        </w:rPr>
        <w:t>占地约77.52hm</w:t>
      </w:r>
      <w:r>
        <w:rPr>
          <w:rFonts w:hint="eastAsia" w:ascii="方正仿宋_GB2312" w:hAnsi="方正仿宋_GB2312" w:eastAsia="方正仿宋_GB2312" w:cs="方正仿宋_GB2312"/>
          <w:sz w:val="32"/>
          <w:szCs w:val="32"/>
          <w:vertAlign w:val="superscript"/>
          <w:lang w:val="en-US" w:eastAsia="zh-CN"/>
        </w:rPr>
        <w:t>2</w:t>
      </w:r>
      <w:r>
        <w:rPr>
          <w:rFonts w:hint="eastAsia" w:ascii="方正仿宋_GB2312" w:hAnsi="方正仿宋_GB2312" w:eastAsia="方正仿宋_GB2312" w:cs="方正仿宋_GB2312"/>
          <w:sz w:val="32"/>
          <w:szCs w:val="32"/>
          <w:lang w:val="en-US" w:eastAsia="zh-CN"/>
        </w:rPr>
        <w:t>，规划总建筑面积409542m</w:t>
      </w:r>
      <w:r>
        <w:rPr>
          <w:rFonts w:hint="eastAsia" w:ascii="方正仿宋_GB2312" w:hAnsi="方正仿宋_GB2312" w:eastAsia="方正仿宋_GB2312" w:cs="方正仿宋_GB2312"/>
          <w:sz w:val="32"/>
          <w:szCs w:val="32"/>
          <w:vertAlign w:val="superscript"/>
          <w:lang w:val="en-US" w:eastAsia="zh-CN"/>
        </w:rPr>
        <w:t>2</w:t>
      </w:r>
      <w:r>
        <w:rPr>
          <w:rFonts w:hint="eastAsia" w:ascii="方正仿宋_GB2312" w:hAnsi="方正仿宋_GB2312" w:eastAsia="方正仿宋_GB2312" w:cs="方正仿宋_GB2312"/>
          <w:sz w:val="32"/>
          <w:szCs w:val="32"/>
          <w:lang w:val="en-US" w:eastAsia="zh-CN"/>
        </w:rPr>
        <w:t>。新</w:t>
      </w:r>
      <w:r>
        <w:rPr>
          <w:rFonts w:hint="eastAsia" w:ascii="方正仿宋_GB2312" w:hAnsi="方正仿宋_GB2312" w:eastAsia="方正仿宋_GB2312" w:cs="方正仿宋_GB2312"/>
          <w:sz w:val="32"/>
          <w:szCs w:val="32"/>
          <w:lang w:eastAsia="zh-CN"/>
        </w:rPr>
        <w:t>建设1条600kA电解系列，系列共安装360台600kA级大容量铝电解槽。本项目的建设内容包括主要生产车间、辅助生产设施和公辅设施。主要生产车间：电解车间、供电整流车间、氧化铝贮运系统、电解烟气净化中心、阳极组装车间、铸造车间，辅助生产设施：槽大修车间、抬包清理车间、综合维修车间、炭渣处理间、中心化验室和仓库及暂存库等；公辅设施：空压站、全厂加压泵站、各车间循环水站、天然气调压站、生活污水处理站、生产废水处理站和初期雨水收集池及提升泵站等。</w:t>
      </w:r>
    </w:p>
    <w:p w14:paraId="66FB857F">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招标范围</w:t>
      </w:r>
      <w:r>
        <w:rPr>
          <w:rFonts w:hint="eastAsia" w:ascii="方正仿宋_GB2312" w:hAnsi="方正仿宋_GB2312" w:eastAsia="方正仿宋_GB2312" w:cs="方正仿宋_GB2312"/>
          <w:sz w:val="32"/>
          <w:szCs w:val="32"/>
          <w:lang w:eastAsia="zh-CN"/>
        </w:rPr>
        <w:t>：万基铝业（新疆）有限公司58万吨电解铝建设项目所有深基坑工程监测（包括并不限于</w:t>
      </w:r>
      <w:r>
        <w:rPr>
          <w:rFonts w:hint="eastAsia" w:ascii="方正仿宋_GB2312" w:hAnsi="方正仿宋_GB2312" w:eastAsia="方正仿宋_GB2312" w:cs="方正仿宋_GB2312"/>
          <w:sz w:val="32"/>
          <w:szCs w:val="32"/>
          <w:lang w:val="en-US" w:eastAsia="zh-CN"/>
        </w:rPr>
        <w:t>新鲜氧化铝贮运设施、初期雨水收集池及提升泵站</w:t>
      </w:r>
      <w:r>
        <w:rPr>
          <w:rFonts w:hint="eastAsia" w:ascii="方正仿宋_GB2312" w:hAnsi="方正仿宋_GB2312" w:eastAsia="方正仿宋_GB2312" w:cs="方正仿宋_GB2312"/>
          <w:sz w:val="32"/>
          <w:szCs w:val="32"/>
          <w:lang w:eastAsia="zh-CN"/>
        </w:rPr>
        <w:t>等，具体以设计为准）；厂区主要建（构）筑物的沉降观测（具体以设计为准）。</w:t>
      </w:r>
    </w:p>
    <w:p w14:paraId="29B63A60">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服务周期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自签订合同进场服务之日起</w:t>
      </w:r>
      <w:r>
        <w:rPr>
          <w:rFonts w:hint="eastAsia" w:ascii="方正仿宋_GB2312" w:hAnsi="方正仿宋_GB2312" w:eastAsia="方正仿宋_GB2312" w:cs="方正仿宋_GB2312"/>
          <w:sz w:val="32"/>
          <w:szCs w:val="32"/>
          <w:lang w:eastAsia="zh-CN"/>
        </w:rPr>
        <w:t>预估36个月，按施工进度据实调整</w:t>
      </w:r>
      <w:r>
        <w:rPr>
          <w:rFonts w:hint="eastAsia" w:ascii="方正仿宋_GB2312" w:hAnsi="方正仿宋_GB2312" w:eastAsia="方正仿宋_GB2312" w:cs="方正仿宋_GB2312"/>
          <w:sz w:val="32"/>
          <w:szCs w:val="32"/>
          <w:lang w:val="en-US" w:eastAsia="zh-CN"/>
        </w:rPr>
        <w:t>。</w:t>
      </w:r>
    </w:p>
    <w:p w14:paraId="362E26F3">
      <w:pPr>
        <w:keepNext w:val="0"/>
        <w:keepLines w:val="0"/>
        <w:pageBreakBefore w:val="0"/>
        <w:widowControl w:val="0"/>
        <w:kinsoku/>
        <w:wordWrap/>
        <w:overflowPunct/>
        <w:topLinePunct w:val="0"/>
        <w:autoSpaceDE/>
        <w:autoSpaceDN/>
        <w:bidi w:val="0"/>
        <w:adjustRightInd/>
        <w:snapToGrid/>
        <w:spacing w:before="120" w:after="120" w:line="440" w:lineRule="exact"/>
        <w:ind w:left="0"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eastAsia="zh-CN"/>
        </w:rPr>
        <w:t>质量标准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符合《建筑基坑工程监测技术标准》GB50497-2019、《建筑变形测量规范》JGJ8-2016、《工程测量规范》GB50026-2020等现行国家及行业规范标准和本建设项目设计图纸及其它有关的规范和标准。</w:t>
      </w:r>
    </w:p>
    <w:p w14:paraId="55EBABE7">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0" w:firstLineChars="200"/>
        <w:jc w:val="left"/>
        <w:textAlignment w:val="auto"/>
        <w:outlineLvl w:val="3"/>
        <w:rPr>
          <w:rFonts w:hint="eastAsia" w:ascii="方正仿宋_GB2312" w:hAnsi="方正仿宋_GB2312" w:eastAsia="方正仿宋_GB2312" w:cs="方正仿宋_GB2312"/>
          <w:b/>
          <w:bCs w:val="0"/>
          <w:sz w:val="32"/>
          <w:szCs w:val="32"/>
        </w:rPr>
      </w:pPr>
      <w:bookmarkStart w:id="5" w:name="heading_5"/>
      <w:r>
        <w:rPr>
          <w:rFonts w:hint="eastAsia" w:ascii="方正仿宋_GB2312" w:hAnsi="方正仿宋_GB2312" w:eastAsia="方正仿宋_GB2312" w:cs="方正仿宋_GB2312"/>
          <w:b/>
          <w:bCs w:val="0"/>
          <w:sz w:val="32"/>
          <w:szCs w:val="32"/>
        </w:rPr>
        <w:t>三、投标人资格要求</w:t>
      </w:r>
      <w:bookmarkEnd w:id="5"/>
    </w:p>
    <w:p w14:paraId="7CFFB151">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 具有独立法人资格，持有合法有效的营业执照。</w:t>
      </w:r>
    </w:p>
    <w:p w14:paraId="4E437661">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b/>
          <w:bCs/>
          <w:sz w:val="32"/>
          <w:szCs w:val="32"/>
          <w:lang w:val="en-US" w:eastAsia="zh-CN"/>
        </w:rPr>
        <w:t>资质条件</w:t>
      </w:r>
      <w:r>
        <w:rPr>
          <w:rFonts w:hint="eastAsia" w:ascii="方正仿宋_GB2312" w:hAnsi="方正仿宋_GB2312" w:eastAsia="方正仿宋_GB2312" w:cs="方正仿宋_GB2312"/>
          <w:sz w:val="32"/>
          <w:szCs w:val="32"/>
          <w:lang w:val="en-US" w:eastAsia="zh-CN"/>
        </w:rPr>
        <w:t>：同时具备工程勘察专业甲级资质（含岩土工程和工程测量）及以上和测绘甲级资质证书（含工程测量专业）。</w:t>
      </w:r>
    </w:p>
    <w:p w14:paraId="095E062D">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b/>
          <w:bCs/>
          <w:sz w:val="32"/>
          <w:szCs w:val="32"/>
          <w:lang w:val="en-US" w:eastAsia="zh-CN"/>
        </w:rPr>
        <w:t>人员要求</w:t>
      </w:r>
      <w:r>
        <w:rPr>
          <w:rFonts w:hint="eastAsia" w:ascii="方正仿宋_GB2312" w:hAnsi="方正仿宋_GB2312" w:eastAsia="方正仿宋_GB2312" w:cs="方正仿宋_GB2312"/>
          <w:sz w:val="32"/>
          <w:szCs w:val="32"/>
          <w:lang w:val="en-US" w:eastAsia="zh-CN"/>
        </w:rPr>
        <w:t>：项目负责人须具有高级工程师职称，且持有注册测绘工程师证书或注册岩土工程师证书。</w:t>
      </w:r>
    </w:p>
    <w:p w14:paraId="15D196BB">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b/>
          <w:bCs/>
          <w:sz w:val="32"/>
          <w:szCs w:val="32"/>
          <w:lang w:val="en-US" w:eastAsia="zh-CN"/>
        </w:rPr>
        <w:t>业绩要求</w:t>
      </w:r>
      <w:r>
        <w:rPr>
          <w:rFonts w:hint="eastAsia" w:ascii="方正仿宋_GB2312" w:hAnsi="方正仿宋_GB2312" w:eastAsia="方正仿宋_GB2312" w:cs="方正仿宋_GB2312"/>
          <w:sz w:val="32"/>
          <w:szCs w:val="32"/>
          <w:lang w:val="en-US" w:eastAsia="zh-CN"/>
        </w:rPr>
        <w:t>：2021年1月1日至今，投标人须具有1个及以上已完工的工业项目沉降观测和深基坑监测合同业绩(沉降观测合同和深基坑监测合同可以分别提供，1个沉降观测合同加1个深基坑监测合同为1项有效业绩)。</w:t>
      </w:r>
    </w:p>
    <w:p w14:paraId="447EFA09">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5. </w:t>
      </w:r>
      <w:r>
        <w:rPr>
          <w:rFonts w:hint="eastAsia" w:ascii="方正仿宋_GB2312" w:hAnsi="方正仿宋_GB2312" w:eastAsia="方正仿宋_GB2312" w:cs="方正仿宋_GB2312"/>
          <w:b/>
          <w:bCs/>
          <w:sz w:val="32"/>
          <w:szCs w:val="32"/>
          <w:lang w:val="en-US" w:eastAsia="zh-CN"/>
        </w:rPr>
        <w:t>信誉要求</w:t>
      </w:r>
      <w:r>
        <w:rPr>
          <w:rFonts w:hint="eastAsia" w:ascii="方正仿宋_GB2312" w:hAnsi="方正仿宋_GB2312" w:eastAsia="方正仿宋_GB2312" w:cs="方正仿宋_GB2312"/>
          <w:sz w:val="32"/>
          <w:szCs w:val="32"/>
          <w:lang w:val="en-US" w:eastAsia="zh-CN"/>
        </w:rPr>
        <w:t>：未被列入信用中国失信被执行人名单、重大税收违法失信主体名单，近三年无重大质量、安全事故及招投标违规记录。</w:t>
      </w:r>
    </w:p>
    <w:p w14:paraId="09333F57">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6. </w:t>
      </w:r>
      <w:r>
        <w:rPr>
          <w:rFonts w:hint="eastAsia" w:ascii="方正仿宋_GB2312" w:hAnsi="方正仿宋_GB2312" w:eastAsia="方正仿宋_GB2312" w:cs="方正仿宋_GB2312"/>
          <w:sz w:val="32"/>
          <w:szCs w:val="32"/>
          <w:lang w:val="en-US" w:eastAsia="zh-CN"/>
        </w:rPr>
        <w:t>本项目不接受联合体投标，且投标单位不得与本项目施工单位存在控股、管理关联关系。</w:t>
      </w:r>
    </w:p>
    <w:p w14:paraId="31CF8CC7">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0" w:firstLineChars="200"/>
        <w:jc w:val="left"/>
        <w:textAlignment w:val="auto"/>
        <w:outlineLvl w:val="3"/>
        <w:rPr>
          <w:rFonts w:hint="eastAsia" w:ascii="方正仿宋_GB2312" w:hAnsi="方正仿宋_GB2312" w:eastAsia="方正仿宋_GB2312" w:cs="方正仿宋_GB2312"/>
          <w:b/>
          <w:bCs w:val="0"/>
          <w:sz w:val="32"/>
          <w:szCs w:val="32"/>
        </w:rPr>
      </w:pPr>
      <w:bookmarkStart w:id="6" w:name="heading_6"/>
      <w:r>
        <w:rPr>
          <w:rFonts w:hint="eastAsia" w:ascii="方正仿宋_GB2312" w:hAnsi="方正仿宋_GB2312" w:eastAsia="方正仿宋_GB2312" w:cs="方正仿宋_GB2312"/>
          <w:b/>
          <w:bCs w:val="0"/>
          <w:sz w:val="32"/>
          <w:szCs w:val="32"/>
        </w:rPr>
        <w:t>四、招标文件领取</w:t>
      </w:r>
      <w:bookmarkEnd w:id="6"/>
    </w:p>
    <w:p w14:paraId="45261CE4">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领取时间</w:t>
      </w:r>
      <w:r>
        <w:rPr>
          <w:rFonts w:hint="eastAsia" w:ascii="方正仿宋_GB2312" w:hAnsi="方正仿宋_GB2312" w:eastAsia="方正仿宋_GB2312" w:cs="方正仿宋_GB2312"/>
          <w:sz w:val="32"/>
          <w:szCs w:val="32"/>
          <w:lang w:val="en-US" w:eastAsia="zh-CN"/>
        </w:rPr>
        <w:t>：2026年7月3日至2026年7月9日，工作日办公时间均可办理。</w:t>
      </w:r>
    </w:p>
    <w:p w14:paraId="4F1479A2">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领取方式</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b w:val="0"/>
          <w:bCs w:val="0"/>
          <w:sz w:val="32"/>
          <w:szCs w:val="32"/>
          <w:lang w:val="en-US" w:eastAsia="zh-CN"/>
        </w:rPr>
        <w:t>万基控股集团供应商准入审核成为万基控股集团合格供应商后</w:t>
      </w:r>
      <w:r>
        <w:rPr>
          <w:rFonts w:hint="eastAsia" w:ascii="方正仿宋_GB2312" w:hAnsi="方正仿宋_GB2312" w:eastAsia="方正仿宋_GB2312" w:cs="方正仿宋_GB2312"/>
          <w:sz w:val="32"/>
          <w:szCs w:val="32"/>
          <w:lang w:val="en-US" w:eastAsia="zh-CN"/>
        </w:rPr>
        <w:t>通过现场领取或邮箱传送电子版文件。</w:t>
      </w:r>
    </w:p>
    <w:p w14:paraId="6E2F7EF8">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所需资料</w:t>
      </w:r>
      <w:r>
        <w:rPr>
          <w:rFonts w:hint="eastAsia" w:ascii="方正仿宋_GB2312" w:hAnsi="方正仿宋_GB2312" w:eastAsia="方正仿宋_GB2312" w:cs="方正仿宋_GB2312"/>
          <w:sz w:val="32"/>
          <w:szCs w:val="32"/>
          <w:lang w:val="en-US" w:eastAsia="zh-CN"/>
        </w:rPr>
        <w:t>：法人身份证明、授权委托书、营业执照、资质证书、业绩证明材料复印件（加盖单位公章）。</w:t>
      </w:r>
    </w:p>
    <w:p w14:paraId="0C8B6D74">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文件费用</w:t>
      </w:r>
      <w:r>
        <w:rPr>
          <w:rFonts w:hint="eastAsia" w:ascii="方正仿宋_GB2312" w:hAnsi="方正仿宋_GB2312" w:eastAsia="方正仿宋_GB2312" w:cs="方正仿宋_GB2312"/>
          <w:sz w:val="32"/>
          <w:szCs w:val="32"/>
          <w:lang w:val="en-US" w:eastAsia="zh-CN"/>
        </w:rPr>
        <w:t>：无</w:t>
      </w:r>
    </w:p>
    <w:p w14:paraId="1232EF3A">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0" w:firstLineChars="200"/>
        <w:jc w:val="left"/>
        <w:textAlignment w:val="auto"/>
        <w:outlineLvl w:val="3"/>
        <w:rPr>
          <w:rFonts w:hint="eastAsia" w:ascii="方正仿宋_GB2312" w:hAnsi="方正仿宋_GB2312" w:eastAsia="方正仿宋_GB2312" w:cs="方正仿宋_GB2312"/>
          <w:b/>
          <w:bCs w:val="0"/>
          <w:sz w:val="32"/>
          <w:szCs w:val="32"/>
        </w:rPr>
      </w:pPr>
      <w:bookmarkStart w:id="7" w:name="heading_7"/>
      <w:r>
        <w:rPr>
          <w:rFonts w:hint="eastAsia" w:ascii="方正仿宋_GB2312" w:hAnsi="方正仿宋_GB2312" w:eastAsia="方正仿宋_GB2312" w:cs="方正仿宋_GB2312"/>
          <w:b/>
          <w:bCs w:val="0"/>
          <w:sz w:val="32"/>
          <w:szCs w:val="32"/>
        </w:rPr>
        <w:t>五、投标文件递交及开标</w:t>
      </w:r>
      <w:bookmarkEnd w:id="7"/>
    </w:p>
    <w:p w14:paraId="416D4114">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投标截止及开标时间</w:t>
      </w:r>
      <w:r>
        <w:rPr>
          <w:rFonts w:hint="eastAsia" w:ascii="方正仿宋_GB2312" w:hAnsi="方正仿宋_GB2312" w:eastAsia="方正仿宋_GB2312" w:cs="方正仿宋_GB2312"/>
          <w:sz w:val="32"/>
          <w:szCs w:val="32"/>
          <w:lang w:val="en-US" w:eastAsia="zh-CN"/>
        </w:rPr>
        <w:t>：2026年7月9日10时00分（北京时间）</w:t>
      </w:r>
    </w:p>
    <w:p w14:paraId="5863BFC2">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递交及开标地点</w:t>
      </w:r>
      <w:r>
        <w:rPr>
          <w:rFonts w:hint="eastAsia" w:ascii="方正仿宋_GB2312" w:hAnsi="方正仿宋_GB2312" w:eastAsia="方正仿宋_GB2312" w:cs="方正仿宋_GB2312"/>
          <w:sz w:val="32"/>
          <w:szCs w:val="32"/>
          <w:lang w:val="en-US" w:eastAsia="zh-CN"/>
        </w:rPr>
        <w:t>：新疆新星市万基铝业（新疆）有限公司项目部会议室</w:t>
      </w:r>
    </w:p>
    <w:p w14:paraId="6C416263">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递交要求</w:t>
      </w:r>
      <w:r>
        <w:rPr>
          <w:rFonts w:hint="eastAsia" w:ascii="方正仿宋_GB2312" w:hAnsi="方正仿宋_GB2312" w:eastAsia="方正仿宋_GB2312" w:cs="方正仿宋_GB2312"/>
          <w:sz w:val="32"/>
          <w:szCs w:val="32"/>
          <w:lang w:val="en-US" w:eastAsia="zh-CN"/>
        </w:rPr>
        <w:t>：投标文件正本1份、副本2份，附带电子版U盘一份，统一密封包装，逾期递交文件不予接收。</w:t>
      </w:r>
    </w:p>
    <w:p w14:paraId="7F42DECA">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投标人授权代表须准时到场参会，随身携带身份证件原件备查。</w:t>
      </w:r>
    </w:p>
    <w:p w14:paraId="693F3962">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0" w:firstLineChars="200"/>
        <w:jc w:val="left"/>
        <w:textAlignment w:val="auto"/>
        <w:outlineLvl w:val="3"/>
        <w:rPr>
          <w:rFonts w:hint="eastAsia" w:ascii="方正仿宋_GB2312" w:hAnsi="方正仿宋_GB2312" w:eastAsia="方正仿宋_GB2312" w:cs="方正仿宋_GB2312"/>
          <w:b/>
          <w:bCs w:val="0"/>
          <w:sz w:val="32"/>
          <w:szCs w:val="32"/>
        </w:rPr>
      </w:pPr>
      <w:bookmarkStart w:id="8" w:name="heading_8"/>
      <w:r>
        <w:rPr>
          <w:rFonts w:hint="eastAsia" w:ascii="方正仿宋_GB2312" w:hAnsi="方正仿宋_GB2312" w:eastAsia="方正仿宋_GB2312" w:cs="方正仿宋_GB2312"/>
          <w:b/>
          <w:bCs w:val="0"/>
          <w:sz w:val="32"/>
          <w:szCs w:val="32"/>
        </w:rPr>
        <w:t>六、发布媒介</w:t>
      </w:r>
      <w:bookmarkEnd w:id="8"/>
    </w:p>
    <w:p w14:paraId="25996073">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本次招标公告在万基控股集团有限公司官网（https://wanjigroup.com/）“招标中心—招标公告”发布。</w:t>
      </w:r>
    </w:p>
    <w:p w14:paraId="0AB141BF">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0" w:firstLineChars="200"/>
        <w:jc w:val="left"/>
        <w:textAlignment w:val="auto"/>
        <w:outlineLvl w:val="3"/>
        <w:rPr>
          <w:rFonts w:hint="eastAsia" w:ascii="方正仿宋_GB2312" w:hAnsi="方正仿宋_GB2312" w:eastAsia="方正仿宋_GB2312" w:cs="方正仿宋_GB2312"/>
          <w:b/>
          <w:bCs w:val="0"/>
          <w:sz w:val="32"/>
          <w:szCs w:val="32"/>
        </w:rPr>
      </w:pPr>
      <w:bookmarkStart w:id="9" w:name="heading_9"/>
      <w:r>
        <w:rPr>
          <w:rFonts w:hint="eastAsia" w:ascii="方正仿宋_GB2312" w:hAnsi="方正仿宋_GB2312" w:eastAsia="方正仿宋_GB2312" w:cs="方正仿宋_GB2312"/>
          <w:b/>
          <w:bCs w:val="0"/>
          <w:sz w:val="32"/>
          <w:szCs w:val="32"/>
        </w:rPr>
        <w:t>七、联系方式</w:t>
      </w:r>
      <w:bookmarkEnd w:id="9"/>
    </w:p>
    <w:p w14:paraId="5DC31AF0">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招标人</w:t>
      </w:r>
      <w:r>
        <w:rPr>
          <w:rFonts w:hint="eastAsia" w:ascii="方正仿宋_GB2312" w:hAnsi="方正仿宋_GB2312" w:eastAsia="方正仿宋_GB2312" w:cs="方正仿宋_GB2312"/>
          <w:sz w:val="32"/>
          <w:szCs w:val="32"/>
          <w:lang w:val="en-US" w:eastAsia="zh-CN"/>
        </w:rPr>
        <w:t>：万基铝业（新疆）有限公司</w:t>
      </w:r>
    </w:p>
    <w:p w14:paraId="25A10E8E">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地址</w:t>
      </w:r>
      <w:r>
        <w:rPr>
          <w:rFonts w:hint="eastAsia" w:ascii="方正仿宋_GB2312" w:hAnsi="方正仿宋_GB2312" w:eastAsia="方正仿宋_GB2312" w:cs="方正仿宋_GB2312"/>
          <w:sz w:val="32"/>
          <w:szCs w:val="32"/>
          <w:lang w:val="en-US" w:eastAsia="zh-CN"/>
        </w:rPr>
        <w:t>：新疆新星市万基铝业（新疆）有限公司项目部</w:t>
      </w:r>
    </w:p>
    <w:p w14:paraId="60F4CCAA">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联系人</w:t>
      </w:r>
      <w:r>
        <w:rPr>
          <w:rFonts w:hint="eastAsia" w:ascii="方正仿宋_GB2312" w:hAnsi="方正仿宋_GB2312" w:eastAsia="方正仿宋_GB2312" w:cs="方正仿宋_GB2312"/>
          <w:sz w:val="32"/>
          <w:szCs w:val="32"/>
          <w:lang w:val="en-US" w:eastAsia="zh-CN"/>
        </w:rPr>
        <w:t>：李珂</w:t>
      </w:r>
    </w:p>
    <w:p w14:paraId="58850538">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联系电话</w:t>
      </w:r>
      <w:r>
        <w:rPr>
          <w:rFonts w:hint="eastAsia" w:ascii="方正仿宋_GB2312" w:hAnsi="方正仿宋_GB2312" w:eastAsia="方正仿宋_GB2312" w:cs="方正仿宋_GB2312"/>
          <w:sz w:val="32"/>
          <w:szCs w:val="32"/>
          <w:lang w:val="en-US" w:eastAsia="zh-CN"/>
        </w:rPr>
        <w:t>：15138749666</w:t>
      </w:r>
    </w:p>
    <w:p w14:paraId="39291557">
      <w:pPr>
        <w:keepNext w:val="0"/>
        <w:keepLines w:val="0"/>
        <w:pageBreakBefore w:val="0"/>
        <w:widowControl w:val="0"/>
        <w:kinsoku/>
        <w:wordWrap/>
        <w:overflowPunct/>
        <w:topLinePunct w:val="0"/>
        <w:autoSpaceDE/>
        <w:autoSpaceDN/>
        <w:bidi w:val="0"/>
        <w:adjustRightInd/>
        <w:snapToGrid/>
        <w:spacing w:before="120" w:after="120" w:line="440" w:lineRule="exact"/>
        <w:ind w:firstLine="3520" w:firstLineChars="11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万基铝业（新疆）有限公司</w:t>
      </w:r>
    </w:p>
    <w:p w14:paraId="5286A6A8">
      <w:pPr>
        <w:keepNext w:val="0"/>
        <w:keepLines w:val="0"/>
        <w:pageBreakBefore w:val="0"/>
        <w:widowControl w:val="0"/>
        <w:kinsoku/>
        <w:wordWrap/>
        <w:overflowPunct/>
        <w:topLinePunct w:val="0"/>
        <w:autoSpaceDE/>
        <w:autoSpaceDN/>
        <w:bidi w:val="0"/>
        <w:adjustRightInd/>
        <w:snapToGrid/>
        <w:spacing w:before="120" w:after="120" w:line="440" w:lineRule="exact"/>
        <w:ind w:firstLine="4480" w:firstLineChars="14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2026年6月29日</w:t>
      </w:r>
    </w:p>
    <w:p w14:paraId="0D54B79E">
      <w:pPr>
        <w:keepLines w:val="0"/>
        <w:pageBreakBefore w:val="0"/>
        <w:kinsoku/>
        <w:wordWrap/>
        <w:overflowPunct/>
        <w:topLinePunct w:val="0"/>
        <w:autoSpaceDE/>
        <w:autoSpaceDN/>
        <w:bidi w:val="0"/>
        <w:adjustRightInd/>
        <w:spacing w:before="320" w:after="120" w:line="460" w:lineRule="exact"/>
        <w:ind w:left="0"/>
        <w:jc w:val="both"/>
        <w:textAlignment w:val="auto"/>
        <w:outlineLvl w:val="1"/>
        <w:rPr>
          <w:rFonts w:hint="eastAsia" w:ascii="方正仿宋_GB2312" w:hAnsi="方正仿宋_GB2312" w:eastAsia="方正仿宋_GB2312" w:cs="方正仿宋_GB2312"/>
          <w:b/>
          <w:sz w:val="32"/>
          <w:szCs w:val="32"/>
        </w:rPr>
      </w:pPr>
      <w:bookmarkStart w:id="10" w:name="heading_10"/>
    </w:p>
    <w:p w14:paraId="6025A121">
      <w:pPr>
        <w:keepLines w:val="0"/>
        <w:pageBreakBefore w:val="0"/>
        <w:kinsoku/>
        <w:wordWrap/>
        <w:overflowPunct/>
        <w:topLinePunct w:val="0"/>
        <w:autoSpaceDE/>
        <w:autoSpaceDN/>
        <w:bidi w:val="0"/>
        <w:adjustRightInd/>
        <w:spacing w:before="320" w:after="120" w:line="460" w:lineRule="exact"/>
        <w:ind w:left="0"/>
        <w:jc w:val="both"/>
        <w:textAlignment w:val="auto"/>
        <w:outlineLvl w:val="1"/>
        <w:rPr>
          <w:rFonts w:hint="eastAsia" w:ascii="方正仿宋_GB2312" w:hAnsi="方正仿宋_GB2312" w:eastAsia="方正仿宋_GB2312" w:cs="方正仿宋_GB2312"/>
          <w:b/>
          <w:sz w:val="32"/>
          <w:szCs w:val="32"/>
        </w:rPr>
      </w:pPr>
    </w:p>
    <w:p w14:paraId="13A20296">
      <w:pPr>
        <w:keepLines w:val="0"/>
        <w:pageBreakBefore w:val="0"/>
        <w:kinsoku/>
        <w:wordWrap/>
        <w:overflowPunct/>
        <w:topLinePunct w:val="0"/>
        <w:autoSpaceDE/>
        <w:autoSpaceDN/>
        <w:bidi w:val="0"/>
        <w:adjustRightInd/>
        <w:spacing w:before="320" w:after="120" w:line="460" w:lineRule="exact"/>
        <w:ind w:left="0"/>
        <w:jc w:val="center"/>
        <w:textAlignment w:val="auto"/>
        <w:outlineLvl w:val="1"/>
        <w:rPr>
          <w:rFonts w:hint="eastAsia" w:ascii="方正仿宋_GB2312" w:hAnsi="方正仿宋_GB2312" w:eastAsia="方正仿宋_GB2312" w:cs="方正仿宋_GB2312"/>
          <w:sz w:val="32"/>
          <w:szCs w:val="32"/>
        </w:rPr>
      </w:pPr>
      <w:bookmarkStart w:id="36" w:name="_GoBack"/>
      <w:bookmarkEnd w:id="36"/>
      <w:r>
        <w:rPr>
          <w:rFonts w:hint="eastAsia" w:ascii="方正仿宋_GB2312" w:hAnsi="方正仿宋_GB2312" w:eastAsia="方正仿宋_GB2312" w:cs="方正仿宋_GB2312"/>
          <w:b/>
          <w:sz w:val="32"/>
          <w:szCs w:val="32"/>
        </w:rPr>
        <w:t>第二章 投标人须知</w:t>
      </w:r>
      <w:bookmarkEnd w:id="10"/>
    </w:p>
    <w:p w14:paraId="5E6CD27C">
      <w:pPr>
        <w:keepNext w:val="0"/>
        <w:keepLines w:val="0"/>
        <w:pageBreakBefore w:val="0"/>
        <w:widowControl w:val="0"/>
        <w:kinsoku/>
        <w:wordWrap/>
        <w:overflowPunct/>
        <w:topLinePunct w:val="0"/>
        <w:autoSpaceDE/>
        <w:autoSpaceDN/>
        <w:bidi w:val="0"/>
        <w:adjustRightInd/>
        <w:spacing w:before="300" w:after="120" w:line="460" w:lineRule="exact"/>
        <w:ind w:left="0"/>
        <w:jc w:val="center"/>
        <w:textAlignment w:val="auto"/>
        <w:outlineLvl w:val="2"/>
        <w:rPr>
          <w:rFonts w:hint="eastAsia" w:ascii="方正仿宋_GB2312" w:hAnsi="方正仿宋_GB2312" w:eastAsia="方正仿宋_GB2312" w:cs="方正仿宋_GB2312"/>
          <w:sz w:val="32"/>
          <w:szCs w:val="32"/>
        </w:rPr>
      </w:pPr>
      <w:bookmarkStart w:id="11" w:name="heading_11"/>
      <w:r>
        <w:rPr>
          <w:rFonts w:hint="eastAsia" w:ascii="方正仿宋_GB2312" w:hAnsi="方正仿宋_GB2312" w:eastAsia="方正仿宋_GB2312" w:cs="方正仿宋_GB2312"/>
          <w:b/>
          <w:sz w:val="32"/>
          <w:szCs w:val="32"/>
        </w:rPr>
        <w:t>投标人须知前附表</w:t>
      </w:r>
      <w:bookmarkEnd w:id="11"/>
    </w:p>
    <w:tbl>
      <w:tblPr>
        <w:tblStyle w:val="7"/>
        <w:tblW w:w="8642"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94"/>
        <w:gridCol w:w="1932"/>
        <w:gridCol w:w="5816"/>
      </w:tblGrid>
      <w:tr w14:paraId="47E60BE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D6B6F1B">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序号</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706F5C5">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条款名称</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85635E8">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内容说明</w:t>
            </w:r>
          </w:p>
        </w:tc>
      </w:tr>
      <w:tr w14:paraId="6BD6638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3653AA2">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1</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BEF919E">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招标人</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D96D48C">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万基铝业（新疆）有限公司</w:t>
            </w:r>
          </w:p>
        </w:tc>
      </w:tr>
      <w:tr w14:paraId="3A5F2FC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AD1C358">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2</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23B57B9">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项目名称</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E0CC850">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58万吨电解铝建设项目</w:t>
            </w:r>
            <w:r>
              <w:rPr>
                <w:rFonts w:hint="eastAsia" w:ascii="方正仿宋_GB2312" w:hAnsi="方正仿宋_GB2312" w:eastAsia="方正仿宋_GB2312" w:cs="方正仿宋_GB2312"/>
                <w:sz w:val="28"/>
                <w:szCs w:val="28"/>
                <w:lang w:eastAsia="zh-CN"/>
              </w:rPr>
              <w:t>沉降观测及深基坑监测</w:t>
            </w:r>
            <w:r>
              <w:rPr>
                <w:rFonts w:hint="eastAsia" w:ascii="方正仿宋_GB2312" w:hAnsi="方正仿宋_GB2312" w:eastAsia="方正仿宋_GB2312" w:cs="方正仿宋_GB2312"/>
                <w:sz w:val="28"/>
                <w:szCs w:val="28"/>
              </w:rPr>
              <w:t>服务</w:t>
            </w:r>
          </w:p>
        </w:tc>
      </w:tr>
      <w:tr w14:paraId="4DFE34A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01A04E9">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3</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CA1897B">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建设地点</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0FF3F96">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新疆新星市</w:t>
            </w:r>
          </w:p>
        </w:tc>
      </w:tr>
      <w:tr w14:paraId="7DB51D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2E1993D">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4</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7E7CAD8">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9A9CF4B">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企业自筹</w:t>
            </w:r>
          </w:p>
        </w:tc>
      </w:tr>
      <w:tr w14:paraId="69CBEFF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EDFB13F">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sz w:val="28"/>
                <w:szCs w:val="32"/>
                <w:lang w:val="en-US" w:eastAsia="zh-CN"/>
              </w:rPr>
              <w:t>5</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9F98A63">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最高投标限价</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EE6A954">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80万元</w:t>
            </w:r>
          </w:p>
        </w:tc>
      </w:tr>
      <w:tr w14:paraId="746042C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6C1683F">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eastAsia="zh-CN"/>
              </w:rPr>
            </w:pPr>
            <w:r>
              <w:rPr>
                <w:rFonts w:hint="eastAsia" w:ascii="方正仿宋_GB2312" w:hAnsi="方正仿宋_GB2312" w:eastAsia="方正仿宋_GB2312" w:cs="方正仿宋_GB2312"/>
                <w:sz w:val="28"/>
                <w:szCs w:val="32"/>
                <w:lang w:val="en-US" w:eastAsia="zh-CN"/>
              </w:rPr>
              <w:t>6</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315A1F6">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服务期限</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B8C9654">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自签订合同进场服务之日起</w:t>
            </w:r>
            <w:r>
              <w:rPr>
                <w:rFonts w:hint="eastAsia" w:ascii="方正仿宋_GB2312" w:hAnsi="方正仿宋_GB2312" w:eastAsia="方正仿宋_GB2312" w:cs="方正仿宋_GB2312"/>
                <w:sz w:val="28"/>
                <w:szCs w:val="28"/>
              </w:rPr>
              <w:t>预估</w:t>
            </w:r>
            <w:r>
              <w:rPr>
                <w:rFonts w:hint="eastAsia" w:ascii="方正仿宋_GB2312" w:hAnsi="方正仿宋_GB2312" w:eastAsia="方正仿宋_GB2312" w:cs="方正仿宋_GB2312"/>
                <w:sz w:val="28"/>
                <w:szCs w:val="28"/>
                <w:lang w:val="en-US" w:eastAsia="zh-CN"/>
              </w:rPr>
              <w:t>36</w:t>
            </w:r>
            <w:r>
              <w:rPr>
                <w:rFonts w:hint="eastAsia" w:ascii="方正仿宋_GB2312" w:hAnsi="方正仿宋_GB2312" w:eastAsia="方正仿宋_GB2312" w:cs="方正仿宋_GB2312"/>
                <w:sz w:val="28"/>
                <w:szCs w:val="28"/>
              </w:rPr>
              <w:t>个月，按施工进度据实调整</w:t>
            </w:r>
          </w:p>
        </w:tc>
      </w:tr>
      <w:tr w14:paraId="588EEE1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F36B038">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eastAsia="zh-CN"/>
              </w:rPr>
            </w:pPr>
            <w:r>
              <w:rPr>
                <w:rFonts w:hint="eastAsia" w:ascii="方正仿宋_GB2312" w:hAnsi="方正仿宋_GB2312" w:eastAsia="方正仿宋_GB2312" w:cs="方正仿宋_GB2312"/>
                <w:sz w:val="28"/>
                <w:szCs w:val="32"/>
                <w:lang w:val="en-US" w:eastAsia="zh-CN"/>
              </w:rPr>
              <w:t>7</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AA7B262">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招标方式</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892B307">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企业自主公开招标</w:t>
            </w:r>
          </w:p>
        </w:tc>
      </w:tr>
      <w:tr w14:paraId="6113B8A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6664D9D">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eastAsia="zh-CN"/>
              </w:rPr>
            </w:pPr>
            <w:r>
              <w:rPr>
                <w:rFonts w:hint="eastAsia" w:ascii="方正仿宋_GB2312" w:hAnsi="方正仿宋_GB2312" w:eastAsia="方正仿宋_GB2312" w:cs="方正仿宋_GB2312"/>
                <w:sz w:val="28"/>
                <w:szCs w:val="32"/>
                <w:lang w:val="en-US" w:eastAsia="zh-CN"/>
              </w:rPr>
              <w:t>8</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01B57A0">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投标有效期</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8A1A230">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90日历天（开标当日起计算）</w:t>
            </w:r>
          </w:p>
        </w:tc>
      </w:tr>
      <w:tr w14:paraId="71F601F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FB280DE">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eastAsia="zh-CN"/>
              </w:rPr>
            </w:pPr>
            <w:r>
              <w:rPr>
                <w:rFonts w:hint="eastAsia" w:ascii="方正仿宋_GB2312" w:hAnsi="方正仿宋_GB2312" w:eastAsia="方正仿宋_GB2312" w:cs="方正仿宋_GB2312"/>
                <w:sz w:val="28"/>
                <w:szCs w:val="32"/>
                <w:lang w:val="en-US" w:eastAsia="zh-CN"/>
              </w:rPr>
              <w:t>9</w:t>
            </w:r>
          </w:p>
        </w:tc>
        <w:tc>
          <w:tcPr>
            <w:tcW w:w="193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8746DA7">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投标保证金</w:t>
            </w:r>
          </w:p>
        </w:tc>
        <w:tc>
          <w:tcPr>
            <w:tcW w:w="5815"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B671453">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10</w:t>
            </w:r>
            <w:r>
              <w:rPr>
                <w:rFonts w:hint="eastAsia" w:ascii="方正仿宋_GB2312" w:hAnsi="方正仿宋_GB2312" w:eastAsia="方正仿宋_GB2312" w:cs="方正仿宋_GB2312"/>
                <w:sz w:val="28"/>
                <w:szCs w:val="28"/>
              </w:rPr>
              <w:t>000元人民币</w:t>
            </w:r>
          </w:p>
        </w:tc>
      </w:tr>
      <w:tr w14:paraId="49FF518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94"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79A82041">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32"/>
                <w:lang w:val="en-US" w:eastAsia="zh-CN"/>
              </w:rPr>
            </w:pPr>
            <w:r>
              <w:rPr>
                <w:rFonts w:hint="eastAsia" w:ascii="方正仿宋_GB2312" w:hAnsi="方正仿宋_GB2312" w:eastAsia="方正仿宋_GB2312" w:cs="方正仿宋_GB2312"/>
                <w:sz w:val="28"/>
                <w:szCs w:val="32"/>
                <w:lang w:val="en-US" w:eastAsia="zh-CN"/>
              </w:rPr>
              <w:t>10</w:t>
            </w:r>
          </w:p>
        </w:tc>
        <w:tc>
          <w:tcPr>
            <w:tcW w:w="1932"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77444231">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评标方式</w:t>
            </w:r>
          </w:p>
        </w:tc>
        <w:tc>
          <w:tcPr>
            <w:tcW w:w="581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506E7B">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综合评估法（商务60分、技术40分）</w:t>
            </w:r>
          </w:p>
        </w:tc>
      </w:tr>
    </w:tbl>
    <w:p w14:paraId="525FA893">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2" w:name="heading_12"/>
      <w:r>
        <w:rPr>
          <w:rFonts w:hint="eastAsia" w:ascii="方正仿宋_GB2312" w:hAnsi="方正仿宋_GB2312" w:eastAsia="方正仿宋_GB2312" w:cs="方正仿宋_GB2312"/>
          <w:b/>
          <w:sz w:val="32"/>
          <w:szCs w:val="32"/>
        </w:rPr>
        <w:t>1 总则</w:t>
      </w:r>
      <w:bookmarkEnd w:id="12"/>
    </w:p>
    <w:p w14:paraId="154D3598">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 本招标文件仅适用于本次</w:t>
      </w:r>
      <w:r>
        <w:rPr>
          <w:rFonts w:hint="eastAsia" w:ascii="方正仿宋_GB2312" w:hAnsi="方正仿宋_GB2312" w:eastAsia="方正仿宋_GB2312" w:cs="方正仿宋_GB2312"/>
          <w:sz w:val="32"/>
          <w:szCs w:val="32"/>
          <w:lang w:eastAsia="zh-CN"/>
        </w:rPr>
        <w:t>沉降观测及深基坑监测</w:t>
      </w:r>
      <w:r>
        <w:rPr>
          <w:rFonts w:hint="eastAsia" w:ascii="方正仿宋_GB2312" w:hAnsi="方正仿宋_GB2312" w:eastAsia="方正仿宋_GB2312" w:cs="方正仿宋_GB2312"/>
          <w:sz w:val="32"/>
          <w:szCs w:val="32"/>
        </w:rPr>
        <w:t>服务招标项目。</w:t>
      </w:r>
    </w:p>
    <w:p w14:paraId="345BF025">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 投标人应保证所提交全部资料真实、合法、有效，弄虚作假一经查实，立即取消投标及中标资格，纳入招标人不良合作名单。</w:t>
      </w:r>
    </w:p>
    <w:p w14:paraId="7E6B6E8A">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 投标人自行承担现场踏勘、投标文件编制、交通、食宿、资料打印等全部投标相关费用，无论投标结果如何，招标人不承担任何费用。</w:t>
      </w:r>
    </w:p>
    <w:p w14:paraId="4297430E">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 招标人不统一组织现场踏勘，投标人可自行进场核查现场工况，充分了解项目场地、施工进度、作业环境等全部情况，风险自行承担。</w:t>
      </w:r>
    </w:p>
    <w:p w14:paraId="12A96BBA">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3" w:name="heading_13"/>
      <w:r>
        <w:rPr>
          <w:rFonts w:hint="eastAsia" w:ascii="方正仿宋_GB2312" w:hAnsi="方正仿宋_GB2312" w:eastAsia="方正仿宋_GB2312" w:cs="方正仿宋_GB2312"/>
          <w:b/>
          <w:sz w:val="32"/>
          <w:szCs w:val="32"/>
        </w:rPr>
        <w:t>2 招标文件</w:t>
      </w:r>
      <w:bookmarkEnd w:id="13"/>
    </w:p>
    <w:p w14:paraId="759A1D2C">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 招标文件包含招标公告、投标人须知、评标办法、合同主要条款、服务技术规范要求、投标文件格式及后续发布的补遗、澄清文件，所有文件互为补充，具有同等法律效力。</w:t>
      </w:r>
    </w:p>
    <w:p w14:paraId="46E426BB">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 投标人</w:t>
      </w:r>
      <w:r>
        <w:rPr>
          <w:rFonts w:hint="eastAsia" w:ascii="方正仿宋_GB2312" w:hAnsi="方正仿宋_GB2312" w:eastAsia="方正仿宋_GB2312" w:cs="方正仿宋_GB2312"/>
          <w:sz w:val="32"/>
          <w:szCs w:val="32"/>
          <w:lang w:val="en-US" w:eastAsia="zh-CN"/>
        </w:rPr>
        <w:t>如</w:t>
      </w:r>
      <w:r>
        <w:rPr>
          <w:rFonts w:hint="eastAsia" w:ascii="方正仿宋_GB2312" w:hAnsi="方正仿宋_GB2312" w:eastAsia="方正仿宋_GB2312" w:cs="方正仿宋_GB2312"/>
          <w:sz w:val="32"/>
          <w:szCs w:val="32"/>
        </w:rPr>
        <w:t>对招标文件存</w:t>
      </w:r>
      <w:r>
        <w:rPr>
          <w:rFonts w:hint="eastAsia" w:ascii="方正仿宋_GB2312" w:hAnsi="方正仿宋_GB2312" w:eastAsia="方正仿宋_GB2312" w:cs="方正仿宋_GB2312"/>
          <w:sz w:val="32"/>
          <w:szCs w:val="32"/>
          <w:lang w:val="en-US" w:eastAsia="zh-CN"/>
        </w:rPr>
        <w:t>在</w:t>
      </w:r>
      <w:r>
        <w:rPr>
          <w:rFonts w:hint="eastAsia" w:ascii="方正仿宋_GB2312" w:hAnsi="方正仿宋_GB2312" w:eastAsia="方正仿宋_GB2312" w:cs="方正仿宋_GB2312"/>
          <w:sz w:val="32"/>
          <w:szCs w:val="32"/>
        </w:rPr>
        <w:t>疑问，</w:t>
      </w:r>
      <w:r>
        <w:rPr>
          <w:rFonts w:hint="eastAsia" w:ascii="方正仿宋_GB2312" w:hAnsi="方正仿宋_GB2312" w:eastAsia="方正仿宋_GB2312" w:cs="方正仿宋_GB2312"/>
          <w:sz w:val="32"/>
          <w:szCs w:val="32"/>
          <w:lang w:val="en-US" w:eastAsia="zh-CN"/>
        </w:rPr>
        <w:t>请于</w:t>
      </w: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7月3日</w:t>
      </w:r>
      <w:r>
        <w:rPr>
          <w:rFonts w:hint="eastAsia" w:ascii="方正仿宋_GB2312" w:hAnsi="方正仿宋_GB2312" w:eastAsia="方正仿宋_GB2312" w:cs="方正仿宋_GB2312"/>
          <w:sz w:val="32"/>
          <w:szCs w:val="32"/>
        </w:rPr>
        <w:t>前以书面形式（含盖章扫描件）提交</w:t>
      </w:r>
      <w:r>
        <w:rPr>
          <w:rFonts w:hint="eastAsia" w:ascii="方正仿宋_GB2312" w:hAnsi="方正仿宋_GB2312" w:eastAsia="方正仿宋_GB2312" w:cs="方正仿宋_GB2312"/>
          <w:sz w:val="32"/>
          <w:szCs w:val="32"/>
          <w:lang w:val="en-US" w:eastAsia="zh-CN"/>
        </w:rPr>
        <w:t>至</w:t>
      </w:r>
      <w:r>
        <w:rPr>
          <w:rFonts w:hint="eastAsia" w:ascii="方正仿宋_GB2312" w:hAnsi="方正仿宋_GB2312" w:eastAsia="方正仿宋_GB2312" w:cs="方正仿宋_GB2312"/>
          <w:sz w:val="32"/>
          <w:szCs w:val="32"/>
        </w:rPr>
        <w:t>招标人，招标人</w:t>
      </w:r>
      <w:r>
        <w:rPr>
          <w:rFonts w:hint="eastAsia" w:ascii="方正仿宋_GB2312" w:hAnsi="方正仿宋_GB2312" w:eastAsia="方正仿宋_GB2312" w:cs="方正仿宋_GB2312"/>
          <w:sz w:val="32"/>
          <w:szCs w:val="32"/>
          <w:lang w:val="en-US" w:eastAsia="zh-CN"/>
        </w:rPr>
        <w:t>将</w:t>
      </w:r>
      <w:r>
        <w:rPr>
          <w:rFonts w:hint="eastAsia" w:ascii="方正仿宋_GB2312" w:hAnsi="方正仿宋_GB2312" w:eastAsia="方正仿宋_GB2312" w:cs="方正仿宋_GB2312"/>
          <w:sz w:val="32"/>
          <w:szCs w:val="32"/>
        </w:rPr>
        <w:t>统一答疑回复。逾期未提出异议的，视同投标人完全认可招标文件全部条款。</w:t>
      </w:r>
    </w:p>
    <w:p w14:paraId="01CCD09D">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 招标人有权在投标截止时间前补充、修正招标文件，修正、补遗文件一经发布，即为招标文件有效组成部分，投标人须严格遵照执行。</w:t>
      </w:r>
    </w:p>
    <w:p w14:paraId="324C1F15">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4" w:name="heading_14"/>
      <w:r>
        <w:rPr>
          <w:rFonts w:hint="eastAsia" w:ascii="方正仿宋_GB2312" w:hAnsi="方正仿宋_GB2312" w:eastAsia="方正仿宋_GB2312" w:cs="方正仿宋_GB2312"/>
          <w:b/>
          <w:sz w:val="32"/>
          <w:szCs w:val="32"/>
        </w:rPr>
        <w:t>3 投标文件编制</w:t>
      </w:r>
      <w:bookmarkEnd w:id="14"/>
    </w:p>
    <w:p w14:paraId="17725BDD">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3.1 投标文件分为商务标、技术标、电子文档三部分，投标人须严格按照招标文件给定格式、内容要求编制，不得随意删减、修改。</w:t>
      </w:r>
    </w:p>
    <w:p w14:paraId="1F277E3E">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 本项目采用</w:t>
      </w:r>
      <w:r>
        <w:rPr>
          <w:rFonts w:hint="eastAsia" w:ascii="方正仿宋_GB2312" w:hAnsi="方正仿宋_GB2312" w:eastAsia="方正仿宋_GB2312" w:cs="方正仿宋_GB2312"/>
          <w:b/>
          <w:sz w:val="32"/>
          <w:szCs w:val="32"/>
          <w:highlight w:val="none"/>
          <w:lang w:val="en-US" w:eastAsia="zh-CN"/>
        </w:rPr>
        <w:t>固定总价</w:t>
      </w:r>
      <w:r>
        <w:rPr>
          <w:rFonts w:hint="eastAsia" w:ascii="方正仿宋_GB2312" w:hAnsi="方正仿宋_GB2312" w:eastAsia="方正仿宋_GB2312" w:cs="方正仿宋_GB2312"/>
          <w:b/>
          <w:sz w:val="32"/>
          <w:szCs w:val="32"/>
          <w:highlight w:val="none"/>
        </w:rPr>
        <w:t>报价</w:t>
      </w:r>
      <w:r>
        <w:rPr>
          <w:rFonts w:hint="eastAsia" w:ascii="方正仿宋_GB2312" w:hAnsi="方正仿宋_GB2312" w:eastAsia="方正仿宋_GB2312" w:cs="方正仿宋_GB2312"/>
          <w:sz w:val="32"/>
          <w:szCs w:val="32"/>
        </w:rPr>
        <w:t>，投标报价包含人工、设备、检测、监测、观测、方案编制、报告出具、税费、差旅费、现场服务、专家评审等全部费用。</w:t>
      </w:r>
    </w:p>
    <w:p w14:paraId="1C712DA4">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3.3 投标文件字迹清晰、盖章齐全、签字完整，文件涂改、修改处须加盖投标人修正章，否则修改内容无效。</w:t>
      </w:r>
    </w:p>
    <w:p w14:paraId="25FEB30C">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5" w:name="heading_15"/>
      <w:r>
        <w:rPr>
          <w:rFonts w:hint="eastAsia" w:ascii="方正仿宋_GB2312" w:hAnsi="方正仿宋_GB2312" w:eastAsia="方正仿宋_GB2312" w:cs="方正仿宋_GB2312"/>
          <w:b/>
          <w:sz w:val="32"/>
          <w:szCs w:val="32"/>
        </w:rPr>
        <w:t>4 投标保证金</w:t>
      </w:r>
      <w:bookmarkEnd w:id="15"/>
    </w:p>
    <w:p w14:paraId="065794D3">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4.1 本项目投标保证金金额</w:t>
      </w:r>
      <w:r>
        <w:rPr>
          <w:rFonts w:hint="eastAsia" w:ascii="方正仿宋_GB2312" w:hAnsi="方正仿宋_GB2312" w:eastAsia="方正仿宋_GB2312" w:cs="方正仿宋_GB2312"/>
          <w:b/>
          <w:bCs/>
          <w:sz w:val="32"/>
          <w:szCs w:val="32"/>
          <w:lang w:val="en-US" w:eastAsia="zh-CN"/>
        </w:rPr>
        <w:t>10</w:t>
      </w:r>
      <w:r>
        <w:rPr>
          <w:rFonts w:hint="eastAsia" w:ascii="方正仿宋_GB2312" w:hAnsi="方正仿宋_GB2312" w:eastAsia="方正仿宋_GB2312" w:cs="方正仿宋_GB2312"/>
          <w:b/>
          <w:bCs/>
          <w:sz w:val="32"/>
          <w:szCs w:val="32"/>
        </w:rPr>
        <w:t>000元</w:t>
      </w:r>
      <w:r>
        <w:rPr>
          <w:rFonts w:hint="eastAsia" w:ascii="方正仿宋_GB2312" w:hAnsi="方正仿宋_GB2312" w:eastAsia="方正仿宋_GB2312" w:cs="方正仿宋_GB2312"/>
          <w:sz w:val="32"/>
          <w:szCs w:val="32"/>
        </w:rPr>
        <w:t>，投标人须在开标前足额</w:t>
      </w:r>
      <w:r>
        <w:rPr>
          <w:rFonts w:hint="eastAsia" w:ascii="方正仿宋_GB2312" w:hAnsi="方正仿宋_GB2312" w:eastAsia="方正仿宋_GB2312" w:cs="方正仿宋_GB2312"/>
          <w:sz w:val="32"/>
          <w:szCs w:val="32"/>
          <w:lang w:val="en-US" w:eastAsia="zh-CN"/>
        </w:rPr>
        <w:t>公对公</w:t>
      </w:r>
      <w:r>
        <w:rPr>
          <w:rFonts w:hint="eastAsia" w:ascii="方正仿宋_GB2312" w:hAnsi="方正仿宋_GB2312" w:eastAsia="方正仿宋_GB2312" w:cs="方正仿宋_GB2312"/>
          <w:sz w:val="32"/>
          <w:szCs w:val="32"/>
        </w:rPr>
        <w:t>转账至招标人指定账户，未按要求缴纳的视为无效投标。</w:t>
      </w:r>
    </w:p>
    <w:p w14:paraId="326DCBB8">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收款账户信息</w:t>
      </w:r>
    </w:p>
    <w:p w14:paraId="2038D852">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账户名称：万基铝业（新疆）有限公司</w:t>
      </w:r>
    </w:p>
    <w:p w14:paraId="04DF8B51">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账户号码：30287701040006154</w:t>
      </w:r>
    </w:p>
    <w:p w14:paraId="5BFEFAC9">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开户银行：中国农业银行股份有限公司新星兵团分行营业室</w:t>
      </w:r>
      <w:r>
        <w:rPr>
          <w:rFonts w:hint="eastAsia" w:ascii="方正仿宋_GB2312" w:hAnsi="方正仿宋_GB2312" w:eastAsia="方正仿宋_GB2312" w:cs="方正仿宋_GB2312"/>
          <w:sz w:val="32"/>
          <w:szCs w:val="32"/>
          <w:lang w:val="en-US" w:eastAsia="zh-CN"/>
        </w:rPr>
        <w:t xml:space="preserve">  </w:t>
      </w:r>
    </w:p>
    <w:p w14:paraId="7495308A">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备注</w:t>
      </w:r>
      <w:r>
        <w:rPr>
          <w:rFonts w:hint="eastAsia" w:ascii="方正仿宋_GB2312" w:hAnsi="方正仿宋_GB2312" w:eastAsia="方正仿宋_GB2312" w:cs="方正仿宋_GB2312"/>
          <w:sz w:val="32"/>
          <w:szCs w:val="32"/>
          <w:lang w:val="en-US" w:eastAsia="zh-CN"/>
        </w:rPr>
        <w:t>为沉降观测深基坑监测投标保证金</w:t>
      </w:r>
    </w:p>
    <w:p w14:paraId="070AE50B">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4.2 未中标单位投标保证金在开标结束、结果公示完毕后无息退还。</w:t>
      </w:r>
    </w:p>
    <w:p w14:paraId="0DA02EA5">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4.3 投标人存在擅自撤标、围标串标、违规弃标、弄虚作假等违规行为的，投标保证金不予退还。</w:t>
      </w:r>
    </w:p>
    <w:p w14:paraId="7E9EC457">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6" w:name="heading_16"/>
      <w:r>
        <w:rPr>
          <w:rFonts w:hint="eastAsia" w:ascii="方正仿宋_GB2312" w:hAnsi="方正仿宋_GB2312" w:eastAsia="方正仿宋_GB2312" w:cs="方正仿宋_GB2312"/>
          <w:b/>
          <w:sz w:val="32"/>
          <w:szCs w:val="32"/>
        </w:rPr>
        <w:t>5 开标、评标与定标</w:t>
      </w:r>
      <w:bookmarkEnd w:id="16"/>
    </w:p>
    <w:p w14:paraId="48023ABB">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5.1 招标人按既定时间、地点组织开标会议，现场核查投标文件密封性、保证金缴纳情况、投标资料完整性及资格符合性。</w:t>
      </w:r>
    </w:p>
    <w:p w14:paraId="19F6EAE7">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5.2 </w:t>
      </w:r>
      <w:r>
        <w:rPr>
          <w:rFonts w:hint="eastAsia" w:ascii="方正仿宋_GB2312" w:hAnsi="方正仿宋_GB2312" w:eastAsia="方正仿宋_GB2312" w:cs="方正仿宋_GB2312"/>
          <w:sz w:val="32"/>
          <w:szCs w:val="32"/>
          <w:lang w:eastAsia="zh-CN"/>
        </w:rPr>
        <w:t>评标小组</w:t>
      </w:r>
      <w:r>
        <w:rPr>
          <w:rFonts w:hint="eastAsia" w:ascii="方正仿宋_GB2312" w:hAnsi="方正仿宋_GB2312" w:eastAsia="方正仿宋_GB2312" w:cs="方正仿宋_GB2312"/>
          <w:sz w:val="32"/>
          <w:szCs w:val="32"/>
        </w:rPr>
        <w:t>由招标人代表及相关专业技术人员组成，依规独立开展评审工作，评标过程全程保密。</w:t>
      </w:r>
    </w:p>
    <w:p w14:paraId="09ECE132">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5.3 </w:t>
      </w:r>
      <w:r>
        <w:rPr>
          <w:rFonts w:hint="eastAsia" w:ascii="方正仿宋_GB2312" w:hAnsi="方正仿宋_GB2312" w:eastAsia="方正仿宋_GB2312" w:cs="方正仿宋_GB2312"/>
          <w:sz w:val="32"/>
          <w:szCs w:val="32"/>
          <w:lang w:eastAsia="zh-CN"/>
        </w:rPr>
        <w:t>评标小组</w:t>
      </w:r>
      <w:r>
        <w:rPr>
          <w:rFonts w:hint="eastAsia" w:ascii="方正仿宋_GB2312" w:hAnsi="方正仿宋_GB2312" w:eastAsia="方正仿宋_GB2312" w:cs="方正仿宋_GB2312"/>
          <w:sz w:val="32"/>
          <w:szCs w:val="32"/>
        </w:rPr>
        <w:t>按照综合得分高低排序，择优推荐中标候选人。</w:t>
      </w:r>
    </w:p>
    <w:p w14:paraId="5B8C84A3">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7" w:name="heading_17"/>
      <w:r>
        <w:rPr>
          <w:rFonts w:hint="eastAsia" w:ascii="方正仿宋_GB2312" w:hAnsi="方正仿宋_GB2312" w:eastAsia="方正仿宋_GB2312" w:cs="方正仿宋_GB2312"/>
          <w:b/>
          <w:sz w:val="32"/>
          <w:szCs w:val="32"/>
        </w:rPr>
        <w:t>6 合同签订</w:t>
      </w:r>
      <w:bookmarkEnd w:id="17"/>
    </w:p>
    <w:p w14:paraId="6C847164">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6.1 中标结果公示无异议后，招标人向中标人发放中标通知书。</w:t>
      </w:r>
    </w:p>
    <w:p w14:paraId="6EB4B2D3">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6.2 中标人收到中标通知书7日内须与招标人签订正式服务合同，逾期未签订的，视为自动放弃中标资格，保证金不予退还。</w:t>
      </w:r>
    </w:p>
    <w:p w14:paraId="09CCEC1A">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18" w:name="heading_18"/>
      <w:r>
        <w:rPr>
          <w:rFonts w:hint="eastAsia" w:ascii="方正仿宋_GB2312" w:hAnsi="方正仿宋_GB2312" w:eastAsia="方正仿宋_GB2312" w:cs="方正仿宋_GB2312"/>
          <w:b/>
          <w:sz w:val="32"/>
          <w:szCs w:val="32"/>
        </w:rPr>
        <w:t>7 否决投标情形</w:t>
      </w:r>
      <w:bookmarkEnd w:id="18"/>
    </w:p>
    <w:p w14:paraId="0C134F20">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出现下列情况之一的，直接否决投标：</w:t>
      </w:r>
    </w:p>
    <w:p w14:paraId="4ED2E011">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（1）投标文件逾期送达、密封破损、包装不符合招标要求；</w:t>
      </w:r>
    </w:p>
    <w:p w14:paraId="69008B89">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（2）投标人资质、人员、业绩等不满足招标硬性资格条件；</w:t>
      </w:r>
    </w:p>
    <w:p w14:paraId="606E259B">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（3）未按要求足额缴纳投标保证金；</w:t>
      </w:r>
    </w:p>
    <w:p w14:paraId="205C95CA">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（4）投标报价明显低于合理成本或高于市场合理价格，存在恶意竞标行为；</w:t>
      </w:r>
    </w:p>
    <w:p w14:paraId="45220248">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（5）投标资料造假、串通投标、违规响应招标、弄虚作假的。</w:t>
      </w:r>
      <w:bookmarkStart w:id="19" w:name="heading_19"/>
    </w:p>
    <w:p w14:paraId="44288444">
      <w:pPr>
        <w:keepNext w:val="0"/>
        <w:keepLines w:val="0"/>
        <w:pageBreakBefore w:val="0"/>
        <w:widowControl w:val="0"/>
        <w:kinsoku/>
        <w:wordWrap/>
        <w:overflowPunct/>
        <w:topLinePunct w:val="0"/>
        <w:autoSpaceDE/>
        <w:autoSpaceDN/>
        <w:bidi w:val="0"/>
        <w:adjustRightInd/>
        <w:spacing w:before="320" w:after="120" w:line="460" w:lineRule="exact"/>
        <w:ind w:left="0"/>
        <w:jc w:val="center"/>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第三章 评标办法（综合评估法）</w:t>
      </w:r>
      <w:bookmarkEnd w:id="19"/>
    </w:p>
    <w:p w14:paraId="2F3AD2BE">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20" w:name="heading_20"/>
      <w:r>
        <w:rPr>
          <w:rFonts w:hint="eastAsia" w:ascii="方正仿宋_GB2312" w:hAnsi="方正仿宋_GB2312" w:eastAsia="方正仿宋_GB2312" w:cs="方正仿宋_GB2312"/>
          <w:b/>
          <w:sz w:val="32"/>
          <w:szCs w:val="32"/>
        </w:rPr>
        <w:t>一、评标总分设置</w:t>
      </w:r>
      <w:bookmarkEnd w:id="20"/>
    </w:p>
    <w:p w14:paraId="19938F62">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本项目评标采用综合评估法，总分共计100分，分值分配：</w:t>
      </w:r>
      <w:r>
        <w:rPr>
          <w:rFonts w:hint="eastAsia" w:ascii="方正仿宋_GB2312" w:hAnsi="方正仿宋_GB2312" w:eastAsia="方正仿宋_GB2312" w:cs="方正仿宋_GB2312"/>
          <w:b/>
          <w:sz w:val="32"/>
          <w:szCs w:val="32"/>
        </w:rPr>
        <w:t>商务标60分、技术标40分</w:t>
      </w:r>
      <w:r>
        <w:rPr>
          <w:rFonts w:hint="eastAsia" w:ascii="方正仿宋_GB2312" w:hAnsi="方正仿宋_GB2312" w:eastAsia="方正仿宋_GB2312" w:cs="方正仿宋_GB2312"/>
          <w:sz w:val="32"/>
          <w:szCs w:val="32"/>
        </w:rPr>
        <w:t>。评标坚持公平、公正、科学、择优的原则，综合考量投标人报价合理性、企业综合实力、履约能力、技术服务水平、项目适配性等条件，择优确定中标候选人。</w:t>
      </w:r>
    </w:p>
    <w:p w14:paraId="30C3662A">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21" w:name="heading_21"/>
      <w:r>
        <w:rPr>
          <w:rFonts w:hint="eastAsia" w:ascii="方正仿宋_GB2312" w:hAnsi="方正仿宋_GB2312" w:eastAsia="方正仿宋_GB2312" w:cs="方正仿宋_GB2312"/>
          <w:b/>
          <w:sz w:val="32"/>
          <w:szCs w:val="32"/>
        </w:rPr>
        <w:t>二、评分标准明细</w:t>
      </w:r>
      <w:bookmarkEnd w:id="21"/>
    </w:p>
    <w:tbl>
      <w:tblPr>
        <w:tblStyle w:val="7"/>
        <w:tblW w:w="8642"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558"/>
        <w:gridCol w:w="1893"/>
        <w:gridCol w:w="941"/>
        <w:gridCol w:w="4250"/>
      </w:tblGrid>
      <w:tr w14:paraId="14FF29B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55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97D93F7">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类别</w:t>
            </w: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2CC6160">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评审项目</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56F8F52">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分值</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2DFCBCB">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评分标准说明</w:t>
            </w:r>
          </w:p>
        </w:tc>
      </w:tr>
      <w:tr w14:paraId="339AB04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restart"/>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C33C75A">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sz w:val="21"/>
                <w:szCs w:val="21"/>
              </w:rPr>
              <w:t>技术标</w:t>
            </w:r>
            <w:r>
              <w:rPr>
                <w:rFonts w:hint="eastAsia" w:ascii="方正仿宋_GB2312" w:hAnsi="方正仿宋_GB2312" w:eastAsia="方正仿宋_GB2312" w:cs="方正仿宋_GB2312"/>
                <w:b/>
                <w:sz w:val="21"/>
                <w:szCs w:val="21"/>
              </w:rPr>
              <w:br w:type="textWrapping"/>
            </w:r>
            <w:r>
              <w:rPr>
                <w:rFonts w:hint="eastAsia" w:ascii="方正仿宋_GB2312" w:hAnsi="方正仿宋_GB2312" w:eastAsia="方正仿宋_GB2312" w:cs="方正仿宋_GB2312"/>
                <w:b/>
                <w:sz w:val="21"/>
                <w:szCs w:val="21"/>
              </w:rPr>
              <w:t>（40分）</w:t>
            </w: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6430EF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监测观测整体方案</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20B2B47">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3EDED62">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方案贴合本项目工况，包含</w:t>
            </w:r>
            <w:r>
              <w:rPr>
                <w:rFonts w:hint="eastAsia" w:ascii="方正仿宋_GB2312" w:hAnsi="方正仿宋_GB2312" w:eastAsia="方正仿宋_GB2312" w:cs="方正仿宋_GB2312"/>
                <w:sz w:val="21"/>
                <w:szCs w:val="21"/>
                <w:lang w:val="en-US" w:eastAsia="zh-CN"/>
              </w:rPr>
              <w:t>监测基准点</w:t>
            </w:r>
            <w:r>
              <w:rPr>
                <w:rFonts w:hint="eastAsia" w:ascii="方正仿宋_GB2312" w:hAnsi="方正仿宋_GB2312" w:eastAsia="方正仿宋_GB2312" w:cs="方正仿宋_GB2312"/>
                <w:sz w:val="21"/>
                <w:szCs w:val="21"/>
              </w:rPr>
              <w:t>布设、监测频次、预警阈值、数据采集、分析研判、险情处置、报告交付等完整内容，完全符合规范、针对性强、可落地性强得12-15分；方案基本合规、内容较完整得7-11分；内容简略、针对性差、存在规范漏洞得1-6分；关键内容缺失、不符合项目需求不得分。</w:t>
            </w:r>
          </w:p>
        </w:tc>
      </w:tr>
      <w:tr w14:paraId="4C86EAD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E671016">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57BA1FE">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项目管理及人员配置</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21F9A8D">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B10CADA">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负责人资质优良、业绩丰富，技术团队专业配置齐全、持证上岗、经验充足，完全满足现场连续作业得8-10分；人员配置基本齐全、满足基本要求得5-7分；人员不足、专业匹配度低、业绩薄弱得1-4分；关键岗位资质不达标、无同类业绩不得分。</w:t>
            </w:r>
          </w:p>
        </w:tc>
      </w:tr>
      <w:tr w14:paraId="0BA00D8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019B35A">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FA5EF4D">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仪器设备配置</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54A4D97">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6380002">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投入全站仪、精密水准仪、测斜仪、水位监测设备等品类齐全、数量充足、精度达标、全部在检定有效期内，可保障全程作业得6-8分；设备基本满足需求、检定齐全得4-5分；设备不全、精度一般、部分无检定证明得1-3分；核心设备缺失、精度不达标不得分。</w:t>
            </w:r>
          </w:p>
        </w:tc>
      </w:tr>
      <w:tr w14:paraId="7763FB7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D68AE24">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B424C4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质量安全与应急保障</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A33282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8C823D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质量管控体系、安全作业制度、数据复核机制、险情预警及应急预案完善、响应及时、保障到位得5-7分；措施基本完善、满足常规作业得3-4分；措施简单、针对性不足得1-2分；无专项措施、无应急预案不得分。</w:t>
            </w:r>
          </w:p>
        </w:tc>
      </w:tr>
      <w:tr w14:paraId="1EF475B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9C89505">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3A68326">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技术标小计</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04A065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40</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26EB6BA">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w:t>
            </w:r>
          </w:p>
        </w:tc>
      </w:tr>
      <w:tr w14:paraId="68FF5C4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restart"/>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D6D83BC">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sz w:val="21"/>
                <w:szCs w:val="21"/>
              </w:rPr>
              <w:t>商务标</w:t>
            </w:r>
            <w:r>
              <w:rPr>
                <w:rFonts w:hint="eastAsia" w:ascii="方正仿宋_GB2312" w:hAnsi="方正仿宋_GB2312" w:eastAsia="方正仿宋_GB2312" w:cs="方正仿宋_GB2312"/>
                <w:b/>
                <w:sz w:val="21"/>
                <w:szCs w:val="21"/>
              </w:rPr>
              <w:br w:type="textWrapping"/>
            </w:r>
            <w:r>
              <w:rPr>
                <w:rFonts w:hint="eastAsia" w:ascii="方正仿宋_GB2312" w:hAnsi="方正仿宋_GB2312" w:eastAsia="方正仿宋_GB2312" w:cs="方正仿宋_GB2312"/>
                <w:b/>
                <w:sz w:val="21"/>
                <w:szCs w:val="21"/>
              </w:rPr>
              <w:t>（60分）</w:t>
            </w: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2CCF5B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sz w:val="21"/>
                <w:szCs w:val="21"/>
              </w:rPr>
              <w:t>投标报价</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4F4E570">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4</w:t>
            </w:r>
            <w:r>
              <w:rPr>
                <w:rFonts w:hint="eastAsia" w:ascii="方正仿宋_GB2312" w:hAnsi="方正仿宋_GB2312" w:eastAsia="方正仿宋_GB2312" w:cs="方正仿宋_GB2312"/>
                <w:sz w:val="21"/>
                <w:szCs w:val="21"/>
              </w:rPr>
              <w:t>0</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0A5CBF6">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满足招标文件要求且投标总价最低的为评标基准价，其价格分得</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0分;高于最高投标限价的不再参评，视为废标。2、其他投标人的价格分统一按照下列公式计算:投标价格评价分</w:t>
            </w: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0-(投标人报价一评标基准价)/(最高投标价一评标基准价)x</w:t>
            </w:r>
            <w:r>
              <w:rPr>
                <w:rFonts w:hint="eastAsia" w:ascii="方正仿宋_GB2312" w:hAnsi="方正仿宋_GB2312" w:eastAsia="方正仿宋_GB2312" w:cs="方正仿宋_GB2312"/>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rPr>
              <w:t>，减分最多</w:t>
            </w:r>
            <w:r>
              <w:rPr>
                <w:rFonts w:hint="eastAsia" w:ascii="方正仿宋_GB2312" w:hAnsi="方正仿宋_GB2312" w:eastAsia="方正仿宋_GB2312" w:cs="方正仿宋_GB2312"/>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rPr>
              <w:t>分。</w:t>
            </w:r>
          </w:p>
        </w:tc>
      </w:tr>
      <w:tr w14:paraId="26DC1DC8">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C4E04D6">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71219F1">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业绩</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2F7CF8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5</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2BB42D7">
            <w:pPr>
              <w:keepNext w:val="0"/>
              <w:keepLines w:val="0"/>
              <w:pageBreakBefore w:val="0"/>
              <w:widowControl/>
              <w:suppressLineNumbers w:val="0"/>
              <w:kinsoku/>
              <w:wordWrap/>
              <w:overflowPunct/>
              <w:topLinePunct w:val="0"/>
              <w:autoSpaceDE/>
              <w:autoSpaceDN/>
              <w:bidi w:val="0"/>
              <w:adjustRightInd/>
              <w:snapToGrid w:val="0"/>
              <w:spacing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kern w:val="0"/>
                <w:sz w:val="21"/>
                <w:szCs w:val="21"/>
                <w:highlight w:val="none"/>
                <w:lang w:val="en-US" w:eastAsia="zh-CN" w:bidi="ar"/>
              </w:rPr>
              <w:t>满足投标人资格要求的得5分，在此基础上每多提供一个合格业绩（业绩要求和证明材料同投标人资格要求）加2.5分，最多加10分</w:t>
            </w:r>
            <w:r>
              <w:rPr>
                <w:rFonts w:hint="eastAsia" w:ascii="方正仿宋_GB2312" w:hAnsi="方正仿宋_GB2312" w:eastAsia="方正仿宋_GB2312" w:cs="方正仿宋_GB2312"/>
                <w:sz w:val="21"/>
                <w:szCs w:val="21"/>
                <w:highlight w:val="none"/>
              </w:rPr>
              <w:t>。</w:t>
            </w:r>
          </w:p>
        </w:tc>
      </w:tr>
      <w:tr w14:paraId="3FB7B0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3971F4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D0F66F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企业信誉及服务承诺</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D5131E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17A2857">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提供</w:t>
            </w:r>
            <w:r>
              <w:rPr>
                <w:rFonts w:hint="eastAsia" w:ascii="方正仿宋_GB2312" w:hAnsi="方正仿宋_GB2312" w:eastAsia="方正仿宋_GB2312" w:cs="方正仿宋_GB2312"/>
                <w:sz w:val="21"/>
                <w:szCs w:val="21"/>
              </w:rPr>
              <w:t>近三年无质量、安全、招投标失信违规记录得3分；提供24小时应急响应、实时数据报送、按期交付等完善服务承诺加2分，满分5分。</w:t>
            </w:r>
          </w:p>
        </w:tc>
      </w:tr>
      <w:tr w14:paraId="51464DA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vMerge w:val="continue"/>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3D79DC8">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p>
        </w:tc>
        <w:tc>
          <w:tcPr>
            <w:tcW w:w="189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874169E">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商务标小计</w:t>
            </w:r>
          </w:p>
        </w:tc>
        <w:tc>
          <w:tcPr>
            <w:tcW w:w="941"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7446A0E">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60</w:t>
            </w:r>
          </w:p>
        </w:tc>
        <w:tc>
          <w:tcPr>
            <w:tcW w:w="42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4B87A84">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w:t>
            </w:r>
          </w:p>
        </w:tc>
      </w:tr>
      <w:tr w14:paraId="416193D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58"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6954AC33">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总分</w:t>
            </w:r>
          </w:p>
        </w:tc>
        <w:tc>
          <w:tcPr>
            <w:tcW w:w="1893"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296EFD70">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100</w:t>
            </w:r>
          </w:p>
        </w:tc>
        <w:tc>
          <w:tcPr>
            <w:tcW w:w="941"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744C2F21">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center"/>
              <w:textAlignment w:val="auto"/>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综合得分=商务标得分+技术标得分</w:t>
            </w:r>
          </w:p>
        </w:tc>
        <w:tc>
          <w:tcPr>
            <w:tcW w:w="424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D3CBB6E">
            <w:pPr>
              <w:keepNext/>
              <w:keepLines w:val="0"/>
              <w:pageBreakBefore w:val="0"/>
              <w:kinsoku/>
              <w:wordWrap/>
              <w:overflowPunct/>
              <w:topLinePunct w:val="0"/>
              <w:autoSpaceDE/>
              <w:autoSpaceDN/>
              <w:bidi w:val="0"/>
              <w:adjustRightInd/>
              <w:snapToGrid w:val="0"/>
              <w:spacing w:before="120" w:after="120" w:line="460" w:lineRule="exact"/>
              <w:ind w:left="0" w:leftChars="0" w:right="0" w:rightChars="0" w:firstLine="0" w:firstLineChars="0"/>
              <w:jc w:val="left"/>
              <w:textAlignment w:val="auto"/>
              <w:rPr>
                <w:rFonts w:hint="eastAsia" w:ascii="方正仿宋_GB2312" w:hAnsi="方正仿宋_GB2312" w:eastAsia="方正仿宋_GB2312" w:cs="方正仿宋_GB2312"/>
                <w:b/>
                <w:sz w:val="21"/>
                <w:szCs w:val="21"/>
              </w:rPr>
            </w:pPr>
          </w:p>
        </w:tc>
      </w:tr>
    </w:tbl>
    <w:p w14:paraId="475D9082">
      <w:pPr>
        <w:keepNext w:val="0"/>
        <w:keepLines w:val="0"/>
        <w:pageBreakBefore w:val="0"/>
        <w:widowControl w:val="0"/>
        <w:kinsoku/>
        <w:wordWrap/>
        <w:overflowPunct/>
        <w:topLinePunct w:val="0"/>
        <w:autoSpaceDE/>
        <w:autoSpaceDN/>
        <w:bidi w:val="0"/>
        <w:adjustRightInd/>
        <w:spacing w:before="300" w:after="120" w:line="460" w:lineRule="exact"/>
        <w:ind w:left="0" w:firstLine="640" w:firstLineChars="200"/>
        <w:jc w:val="left"/>
        <w:textAlignment w:val="auto"/>
        <w:outlineLvl w:val="2"/>
        <w:rPr>
          <w:rFonts w:hint="eastAsia" w:ascii="方正仿宋_GB2312" w:hAnsi="方正仿宋_GB2312" w:eastAsia="方正仿宋_GB2312" w:cs="方正仿宋_GB2312"/>
          <w:sz w:val="32"/>
          <w:szCs w:val="32"/>
        </w:rPr>
      </w:pPr>
      <w:bookmarkStart w:id="22" w:name="heading_22"/>
      <w:r>
        <w:rPr>
          <w:rFonts w:hint="eastAsia" w:ascii="方正仿宋_GB2312" w:hAnsi="方正仿宋_GB2312" w:eastAsia="方正仿宋_GB2312" w:cs="方正仿宋_GB2312"/>
          <w:b/>
          <w:sz w:val="32"/>
          <w:szCs w:val="32"/>
        </w:rPr>
        <w:t>三、评标流程及定标规则</w:t>
      </w:r>
      <w:bookmarkEnd w:id="22"/>
    </w:p>
    <w:p w14:paraId="07DB3694">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1. </w:t>
      </w:r>
      <w:r>
        <w:rPr>
          <w:rFonts w:hint="eastAsia" w:ascii="方正仿宋_GB2312" w:hAnsi="方正仿宋_GB2312" w:eastAsia="方正仿宋_GB2312" w:cs="方正仿宋_GB2312"/>
          <w:b/>
          <w:sz w:val="32"/>
          <w:szCs w:val="32"/>
        </w:rPr>
        <w:t>资格符合性审查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评标小组</w:t>
      </w:r>
      <w:r>
        <w:rPr>
          <w:rFonts w:hint="eastAsia" w:ascii="方正仿宋_GB2312" w:hAnsi="方正仿宋_GB2312" w:eastAsia="方正仿宋_GB2312" w:cs="方正仿宋_GB2312"/>
          <w:sz w:val="32"/>
          <w:szCs w:val="32"/>
        </w:rPr>
        <w:t>首先对投标人资质、业绩、人员、保证金、投标文件合规性进行审查，剔除资格不满足、资料造假、不符合招标要求的无效投标单位。</w:t>
      </w:r>
    </w:p>
    <w:p w14:paraId="3100F176">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 </w:t>
      </w:r>
      <w:r>
        <w:rPr>
          <w:rFonts w:hint="eastAsia" w:ascii="方正仿宋_GB2312" w:hAnsi="方正仿宋_GB2312" w:eastAsia="方正仿宋_GB2312" w:cs="方正仿宋_GB2312"/>
          <w:b/>
          <w:sz w:val="32"/>
          <w:szCs w:val="32"/>
        </w:rPr>
        <w:t>分项评审打分</w:t>
      </w:r>
      <w:r>
        <w:rPr>
          <w:rFonts w:hint="eastAsia" w:ascii="方正仿宋_GB2312" w:hAnsi="方正仿宋_GB2312" w:eastAsia="方正仿宋_GB2312" w:cs="方正仿宋_GB2312"/>
          <w:sz w:val="32"/>
          <w:szCs w:val="32"/>
        </w:rPr>
        <w:t>：对通过资格审查的有效投标人，独立开展技术标、商务标评审打分，严格按照评分标准逐项计分，确保打分公平公正、有据可依。</w:t>
      </w:r>
    </w:p>
    <w:p w14:paraId="73E9BFB1">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3. </w:t>
      </w:r>
      <w:r>
        <w:rPr>
          <w:rFonts w:hint="eastAsia" w:ascii="方正仿宋_GB2312" w:hAnsi="方正仿宋_GB2312" w:eastAsia="方正仿宋_GB2312" w:cs="方正仿宋_GB2312"/>
          <w:b/>
          <w:sz w:val="32"/>
          <w:szCs w:val="32"/>
        </w:rPr>
        <w:t>综合得分汇总</w:t>
      </w:r>
      <w:r>
        <w:rPr>
          <w:rFonts w:hint="eastAsia" w:ascii="方正仿宋_GB2312" w:hAnsi="方正仿宋_GB2312" w:eastAsia="方正仿宋_GB2312" w:cs="方正仿宋_GB2312"/>
          <w:sz w:val="32"/>
          <w:szCs w:val="32"/>
        </w:rPr>
        <w:t>：投标人最终综合得分=商务标得分+技术标得分，按得分由高至低统一排序。</w:t>
      </w:r>
    </w:p>
    <w:p w14:paraId="595212A6">
      <w:pPr>
        <w:keepNext w:val="0"/>
        <w:keepLines w:val="0"/>
        <w:pageBreakBefore w:val="0"/>
        <w:widowControl w:val="0"/>
        <w:kinsoku/>
        <w:wordWrap/>
        <w:overflowPunct/>
        <w:topLinePunct w:val="0"/>
        <w:autoSpaceDE/>
        <w:autoSpaceDN/>
        <w:bidi w:val="0"/>
        <w:adjustRightInd/>
        <w:spacing w:before="120" w:after="120" w:line="46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 </w:t>
      </w:r>
      <w:r>
        <w:rPr>
          <w:rFonts w:hint="eastAsia" w:ascii="方正仿宋_GB2312" w:hAnsi="方正仿宋_GB2312" w:eastAsia="方正仿宋_GB2312" w:cs="方正仿宋_GB2312"/>
          <w:b/>
          <w:sz w:val="32"/>
          <w:szCs w:val="32"/>
        </w:rPr>
        <w:t>中标候选人推荐</w:t>
      </w:r>
      <w:r>
        <w:rPr>
          <w:rFonts w:hint="eastAsia" w:ascii="方正仿宋_GB2312" w:hAnsi="方正仿宋_GB2312" w:eastAsia="方正仿宋_GB2312" w:cs="方正仿宋_GB2312"/>
          <w:sz w:val="32"/>
          <w:szCs w:val="32"/>
        </w:rPr>
        <w:t>：按综合得分排序推荐</w:t>
      </w:r>
      <w:r>
        <w:rPr>
          <w:rFonts w:hint="eastAsia" w:ascii="方正仿宋_GB2312" w:hAnsi="方正仿宋_GB2312" w:eastAsia="方正仿宋_GB2312" w:cs="方正仿宋_GB2312"/>
          <w:sz w:val="32"/>
          <w:szCs w:val="32"/>
          <w:lang w:val="en-US" w:eastAsia="zh-CN"/>
        </w:rPr>
        <w:t>第一</w:t>
      </w:r>
      <w:r>
        <w:rPr>
          <w:rFonts w:hint="eastAsia" w:ascii="方正仿宋_GB2312" w:hAnsi="方正仿宋_GB2312" w:eastAsia="方正仿宋_GB2312" w:cs="方正仿宋_GB2312"/>
          <w:sz w:val="32"/>
          <w:szCs w:val="32"/>
        </w:rPr>
        <w:t>名为本项目中标候选人；综合得分相同时，优先选取</w:t>
      </w:r>
      <w:r>
        <w:rPr>
          <w:rFonts w:hint="eastAsia" w:ascii="方正仿宋_GB2312" w:hAnsi="方正仿宋_GB2312" w:eastAsia="方正仿宋_GB2312" w:cs="方正仿宋_GB2312"/>
          <w:b/>
          <w:sz w:val="32"/>
          <w:szCs w:val="32"/>
          <w:lang w:val="en-US" w:eastAsia="zh-CN"/>
        </w:rPr>
        <w:t>投标报价更低</w:t>
      </w:r>
      <w:r>
        <w:rPr>
          <w:rFonts w:hint="eastAsia" w:ascii="方正仿宋_GB2312" w:hAnsi="方正仿宋_GB2312" w:eastAsia="方正仿宋_GB2312" w:cs="方正仿宋_GB2312"/>
          <w:sz w:val="32"/>
          <w:szCs w:val="32"/>
        </w:rPr>
        <w:t>的投标人；商务标得分仍一致的，以投标人同类业绩数量、项目规模、履约质量择优确定排序。</w:t>
      </w:r>
    </w:p>
    <w:p w14:paraId="13164923">
      <w:pPr>
        <w:keepNext w:val="0"/>
        <w:keepLines w:val="0"/>
        <w:pageBreakBefore w:val="0"/>
        <w:widowControl w:val="0"/>
        <w:kinsoku/>
        <w:wordWrap/>
        <w:overflowPunct/>
        <w:topLinePunct w:val="0"/>
        <w:autoSpaceDE/>
        <w:autoSpaceDN/>
        <w:bidi w:val="0"/>
        <w:spacing w:before="320" w:after="120" w:line="500" w:lineRule="exact"/>
        <w:ind w:left="0"/>
        <w:jc w:val="both"/>
        <w:textAlignment w:val="auto"/>
        <w:outlineLvl w:val="9"/>
        <w:rPr>
          <w:rFonts w:hint="eastAsia" w:ascii="方正仿宋_GB2312" w:hAnsi="方正仿宋_GB2312" w:eastAsia="方正仿宋_GB2312" w:cs="方正仿宋_GB2312"/>
          <w:b/>
          <w:sz w:val="32"/>
          <w:szCs w:val="32"/>
        </w:rPr>
      </w:pPr>
      <w:bookmarkStart w:id="23" w:name="heading_23"/>
    </w:p>
    <w:p w14:paraId="2437106B">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220817BF">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48855559">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69021382">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74DF8AFC">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348B4C53">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32"/>
          <w:szCs w:val="32"/>
        </w:rPr>
      </w:pPr>
    </w:p>
    <w:p w14:paraId="6EB6D1BD">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sz w:val="44"/>
          <w:szCs w:val="44"/>
          <w:lang w:eastAsia="zh-CN"/>
        </w:rPr>
      </w:pPr>
      <w:r>
        <w:rPr>
          <w:rFonts w:hint="eastAsia" w:ascii="方正仿宋_GB2312" w:hAnsi="方正仿宋_GB2312" w:eastAsia="方正仿宋_GB2312" w:cs="方正仿宋_GB2312"/>
          <w:b/>
          <w:sz w:val="44"/>
          <w:szCs w:val="44"/>
        </w:rPr>
        <w:t>第四章 合同</w:t>
      </w:r>
      <w:bookmarkEnd w:id="23"/>
      <w:r>
        <w:rPr>
          <w:rFonts w:hint="eastAsia" w:ascii="方正仿宋_GB2312" w:hAnsi="方正仿宋_GB2312" w:eastAsia="方正仿宋_GB2312" w:cs="方正仿宋_GB2312"/>
          <w:b/>
          <w:sz w:val="44"/>
          <w:szCs w:val="44"/>
          <w:lang w:val="en-US" w:eastAsia="zh-CN"/>
        </w:rPr>
        <w:t>模板</w:t>
      </w:r>
    </w:p>
    <w:p w14:paraId="17DCDE34">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kern w:val="2"/>
          <w:sz w:val="44"/>
          <w:szCs w:val="44"/>
          <w:lang w:val="en-US" w:eastAsia="zh-CN" w:bidi="ar-SA"/>
        </w:rPr>
      </w:pPr>
      <w:bookmarkStart w:id="24" w:name="heading_36"/>
    </w:p>
    <w:p w14:paraId="33629E27">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kern w:val="2"/>
          <w:sz w:val="44"/>
          <w:szCs w:val="44"/>
          <w:lang w:val="en-US" w:eastAsia="zh-CN" w:bidi="ar-SA"/>
        </w:rPr>
      </w:pPr>
    </w:p>
    <w:p w14:paraId="1BE25E45">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color w:val="auto"/>
          <w:kern w:val="2"/>
          <w:sz w:val="44"/>
          <w:szCs w:val="44"/>
          <w:lang w:val="en-US" w:eastAsia="zh-CN" w:bidi="ar-SA"/>
        </w:rPr>
      </w:pPr>
    </w:p>
    <w:p w14:paraId="1ED47F7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color w:val="auto"/>
          <w:spacing w:val="45"/>
          <w:kern w:val="2"/>
          <w:sz w:val="44"/>
          <w:szCs w:val="44"/>
          <w:lang w:val="en-US" w:eastAsia="zh-CN" w:bidi="ar-SA"/>
        </w:rPr>
      </w:pPr>
      <w:r>
        <w:rPr>
          <w:rFonts w:hint="eastAsia" w:ascii="方正仿宋_GB2312" w:hAnsi="方正仿宋_GB2312" w:eastAsia="方正仿宋_GB2312" w:cs="方正仿宋_GB2312"/>
          <w:b/>
          <w:color w:val="auto"/>
          <w:spacing w:val="45"/>
          <w:kern w:val="2"/>
          <w:sz w:val="44"/>
          <w:szCs w:val="44"/>
          <w:lang w:val="en-US" w:eastAsia="zh-CN" w:bidi="ar-SA"/>
        </w:rPr>
        <w:t>沉降观测及深基坑监测服务合同</w:t>
      </w:r>
    </w:p>
    <w:p w14:paraId="13C1CD6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p>
    <w:p w14:paraId="2597C17F">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kern w:val="2"/>
          <w:sz w:val="32"/>
          <w:szCs w:val="32"/>
          <w:lang w:val="en-US" w:eastAsia="zh-CN" w:bidi="ar-SA"/>
        </w:rPr>
      </w:pPr>
    </w:p>
    <w:p w14:paraId="274E8F1D">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kern w:val="2"/>
          <w:sz w:val="32"/>
          <w:szCs w:val="32"/>
          <w:lang w:val="en-US" w:eastAsia="zh-CN" w:bidi="ar-SA"/>
        </w:rPr>
      </w:pPr>
    </w:p>
    <w:p w14:paraId="03AB995E">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kern w:val="2"/>
          <w:sz w:val="32"/>
          <w:szCs w:val="32"/>
          <w:lang w:val="en-US" w:eastAsia="zh-CN" w:bidi="ar-SA"/>
        </w:rPr>
      </w:pPr>
    </w:p>
    <w:p w14:paraId="2F3611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kern w:val="2"/>
          <w:sz w:val="32"/>
          <w:szCs w:val="32"/>
          <w:u w:val="none"/>
          <w:lang w:val="en-US" w:eastAsia="zh-CN" w:bidi="ar-SA"/>
        </w:rPr>
      </w:pPr>
      <w:r>
        <w:rPr>
          <w:rFonts w:hint="eastAsia" w:ascii="方正仿宋_GB2312" w:hAnsi="方正仿宋_GB2312" w:eastAsia="方正仿宋_GB2312" w:cs="方正仿宋_GB2312"/>
          <w:color w:val="auto"/>
          <w:kern w:val="2"/>
          <w:sz w:val="32"/>
          <w:szCs w:val="32"/>
          <w:u w:val="none"/>
          <w:lang w:val="en-US" w:eastAsia="zh-CN" w:bidi="ar-SA"/>
        </w:rPr>
        <w:t>万基铝业（新疆）有限公司58万吨电解铝建设项目</w:t>
      </w:r>
    </w:p>
    <w:p w14:paraId="72727938">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工程名称：</w:t>
      </w:r>
      <w:r>
        <w:rPr>
          <w:rFonts w:hint="eastAsia" w:ascii="方正仿宋_GB2312" w:hAnsi="方正仿宋_GB2312" w:eastAsia="方正仿宋_GB2312" w:cs="方正仿宋_GB2312"/>
          <w:b/>
          <w:bCs/>
          <w:kern w:val="2"/>
          <w:sz w:val="32"/>
          <w:szCs w:val="32"/>
          <w:u w:val="single"/>
          <w:lang w:val="en-US" w:eastAsia="zh-CN" w:bidi="ar-SA"/>
        </w:rPr>
        <w:t xml:space="preserve"> </w:t>
      </w:r>
      <w:r>
        <w:rPr>
          <w:rFonts w:hint="eastAsia" w:ascii="方正仿宋_GB2312" w:hAnsi="方正仿宋_GB2312" w:eastAsia="方正仿宋_GB2312" w:cs="方正仿宋_GB2312"/>
          <w:color w:val="auto"/>
          <w:kern w:val="2"/>
          <w:sz w:val="32"/>
          <w:szCs w:val="32"/>
          <w:u w:val="single"/>
          <w:lang w:val="en-US" w:eastAsia="zh-CN" w:bidi="ar-SA"/>
        </w:rPr>
        <w:t xml:space="preserve">沉降观测及深基坑监测服务合同        </w:t>
      </w:r>
    </w:p>
    <w:p w14:paraId="5B238900">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kern w:val="2"/>
          <w:sz w:val="32"/>
          <w:szCs w:val="32"/>
          <w:u w:val="single"/>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工程地点：</w:t>
      </w:r>
      <w:r>
        <w:rPr>
          <w:rFonts w:hint="eastAsia" w:ascii="方正仿宋_GB2312" w:hAnsi="方正仿宋_GB2312" w:eastAsia="方正仿宋_GB2312" w:cs="方正仿宋_GB2312"/>
          <w:b/>
          <w:bCs/>
          <w:color w:val="auto"/>
          <w:kern w:val="2"/>
          <w:sz w:val="32"/>
          <w:szCs w:val="32"/>
          <w:u w:val="single"/>
          <w:lang w:val="en-US" w:eastAsia="zh-CN" w:bidi="ar-SA"/>
        </w:rPr>
        <w:t xml:space="preserve"> </w:t>
      </w:r>
      <w:r>
        <w:rPr>
          <w:rFonts w:hint="eastAsia" w:ascii="方正仿宋_GB2312" w:hAnsi="方正仿宋_GB2312" w:eastAsia="方正仿宋_GB2312" w:cs="方正仿宋_GB2312"/>
          <w:color w:val="auto"/>
          <w:kern w:val="2"/>
          <w:sz w:val="32"/>
          <w:szCs w:val="32"/>
          <w:u w:val="single"/>
          <w:lang w:val="en-US" w:eastAsia="zh-CN" w:bidi="ar-SA"/>
        </w:rPr>
        <w:t xml:space="preserve">新疆新星市新星经济技术开发区骆驼圈子产业园   </w:t>
      </w:r>
    </w:p>
    <w:p w14:paraId="044A9B59">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合同编号：</w:t>
      </w:r>
      <w:r>
        <w:rPr>
          <w:rFonts w:hint="eastAsia" w:ascii="方正仿宋_GB2312" w:hAnsi="方正仿宋_GB2312" w:eastAsia="方正仿宋_GB2312" w:cs="方正仿宋_GB2312"/>
          <w:bCs/>
          <w:kern w:val="2"/>
          <w:sz w:val="32"/>
          <w:szCs w:val="32"/>
          <w:u w:val="single"/>
          <w:lang w:val="en-US" w:eastAsia="zh-CN" w:bidi="ar-SA"/>
        </w:rPr>
        <w:t xml:space="preserve">                                              </w:t>
      </w:r>
    </w:p>
    <w:p w14:paraId="2B0992B0">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发 包 人：</w:t>
      </w:r>
      <w:r>
        <w:rPr>
          <w:rFonts w:hint="eastAsia" w:ascii="方正仿宋_GB2312" w:hAnsi="方正仿宋_GB2312" w:eastAsia="方正仿宋_GB2312" w:cs="方正仿宋_GB2312"/>
          <w:b/>
          <w:bCs/>
          <w:kern w:val="2"/>
          <w:sz w:val="32"/>
          <w:szCs w:val="32"/>
          <w:u w:val="single"/>
          <w:lang w:val="en-US" w:eastAsia="zh-CN" w:bidi="ar-SA"/>
        </w:rPr>
        <w:t xml:space="preserve"> </w:t>
      </w:r>
      <w:r>
        <w:rPr>
          <w:rFonts w:hint="eastAsia" w:ascii="方正仿宋_GB2312" w:hAnsi="方正仿宋_GB2312" w:eastAsia="方正仿宋_GB2312" w:cs="方正仿宋_GB2312"/>
          <w:color w:val="auto"/>
          <w:kern w:val="2"/>
          <w:sz w:val="32"/>
          <w:szCs w:val="32"/>
          <w:u w:val="single"/>
          <w:lang w:val="en-US" w:eastAsia="zh-CN" w:bidi="ar-SA"/>
        </w:rPr>
        <w:t>万基铝业（新疆）有限公司</w:t>
      </w:r>
      <w:r>
        <w:rPr>
          <w:rFonts w:hint="eastAsia" w:ascii="方正仿宋_GB2312" w:hAnsi="方正仿宋_GB2312" w:eastAsia="方正仿宋_GB2312" w:cs="方正仿宋_GB2312"/>
          <w:b/>
          <w:bCs/>
          <w:kern w:val="2"/>
          <w:sz w:val="32"/>
          <w:szCs w:val="32"/>
          <w:u w:val="single"/>
          <w:lang w:val="en-US" w:eastAsia="zh-CN" w:bidi="ar-SA"/>
        </w:rPr>
        <w:t xml:space="preserve">  </w:t>
      </w:r>
      <w:r>
        <w:rPr>
          <w:rFonts w:hint="eastAsia" w:ascii="方正仿宋_GB2312" w:hAnsi="方正仿宋_GB2312" w:eastAsia="方正仿宋_GB2312" w:cs="方正仿宋_GB2312"/>
          <w:bCs/>
          <w:kern w:val="2"/>
          <w:sz w:val="32"/>
          <w:szCs w:val="32"/>
          <w:u w:val="single"/>
          <w:lang w:val="en-US" w:eastAsia="zh-CN" w:bidi="ar-SA"/>
        </w:rPr>
        <w:t xml:space="preserve">         </w:t>
      </w:r>
    </w:p>
    <w:p w14:paraId="3F502487">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承 包 人：</w:t>
      </w:r>
      <w:r>
        <w:rPr>
          <w:rFonts w:hint="eastAsia" w:ascii="方正仿宋_GB2312" w:hAnsi="方正仿宋_GB2312" w:eastAsia="方正仿宋_GB2312" w:cs="方正仿宋_GB2312"/>
          <w:b/>
          <w:bCs/>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u w:val="single"/>
          <w:lang w:val="en-US" w:eastAsia="zh-CN" w:bidi="ar-SA"/>
        </w:rPr>
        <w:t xml:space="preserve">                                          </w:t>
      </w:r>
    </w:p>
    <w:p w14:paraId="04E0EEB6">
      <w:pPr>
        <w:keepNext w:val="0"/>
        <w:keepLines w:val="0"/>
        <w:pageBreakBefore w:val="0"/>
        <w:widowControl w:val="0"/>
        <w:kinsoku/>
        <w:wordWrap/>
        <w:overflowPunct/>
        <w:topLinePunct w:val="0"/>
        <w:autoSpaceDE/>
        <w:autoSpaceDN/>
        <w:bidi w:val="0"/>
        <w:adjustRightInd/>
        <w:snapToGrid/>
        <w:spacing w:line="500" w:lineRule="exact"/>
        <w:ind w:firstLine="979" w:firstLineChars="306"/>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签订日期：</w:t>
      </w:r>
      <w:r>
        <w:rPr>
          <w:rFonts w:hint="eastAsia" w:ascii="方正仿宋_GB2312" w:hAnsi="方正仿宋_GB2312" w:eastAsia="方正仿宋_GB2312" w:cs="方正仿宋_GB2312"/>
          <w:kern w:val="2"/>
          <w:sz w:val="32"/>
          <w:szCs w:val="32"/>
          <w:u w:val="single"/>
          <w:lang w:val="en-US" w:eastAsia="zh-CN" w:bidi="ar-SA"/>
        </w:rPr>
        <w:t xml:space="preserve">                                              </w:t>
      </w:r>
    </w:p>
    <w:p w14:paraId="219034CC">
      <w:pPr>
        <w:keepNext w:val="0"/>
        <w:keepLines w:val="0"/>
        <w:pageBreakBefore w:val="0"/>
        <w:widowControl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kern w:val="2"/>
          <w:sz w:val="32"/>
          <w:szCs w:val="32"/>
          <w:lang w:val="en-US" w:eastAsia="zh-CN" w:bidi="ar-SA"/>
        </w:rPr>
      </w:pPr>
    </w:p>
    <w:p w14:paraId="482BB075">
      <w:pPr>
        <w:keepNext w:val="0"/>
        <w:keepLines w:val="0"/>
        <w:pageBreakBefore w:val="0"/>
        <w:widowControl w:val="0"/>
        <w:kinsoku/>
        <w:wordWrap/>
        <w:overflowPunct/>
        <w:topLinePunct w:val="0"/>
        <w:autoSpaceDE/>
        <w:autoSpaceDN/>
        <w:bidi w:val="0"/>
        <w:spacing w:line="500" w:lineRule="exact"/>
        <w:ind w:firstLine="3360" w:firstLineChars="1050"/>
        <w:jc w:val="both"/>
        <w:textAlignment w:val="auto"/>
        <w:rPr>
          <w:rFonts w:hint="eastAsia" w:ascii="方正仿宋_GB2312" w:hAnsi="方正仿宋_GB2312" w:eastAsia="方正仿宋_GB2312" w:cs="方正仿宋_GB2312"/>
          <w:w w:val="90"/>
          <w:kern w:val="21"/>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4123690</wp:posOffset>
                </wp:positionH>
                <wp:positionV relativeFrom="paragraph">
                  <wp:posOffset>103505</wp:posOffset>
                </wp:positionV>
                <wp:extent cx="709930" cy="490855"/>
                <wp:effectExtent l="0" t="0" r="4445" b="4445"/>
                <wp:wrapNone/>
                <wp:docPr id="3" name="矩形 3"/>
                <wp:cNvGraphicFramePr/>
                <a:graphic xmlns:a="http://schemas.openxmlformats.org/drawingml/2006/main">
                  <a:graphicData uri="http://schemas.microsoft.com/office/word/2010/wordprocessingShape">
                    <wps:wsp>
                      <wps:cNvSpPr/>
                      <wps:spPr>
                        <a:xfrm>
                          <a:off x="0" y="0"/>
                          <a:ext cx="709930" cy="490855"/>
                        </a:xfrm>
                        <a:prstGeom prst="rect">
                          <a:avLst/>
                        </a:prstGeom>
                        <a:solidFill>
                          <a:srgbClr val="FFFFFF"/>
                        </a:solidFill>
                        <a:ln>
                          <a:noFill/>
                        </a:ln>
                      </wps:spPr>
                      <wps:txbx>
                        <w:txbxContent>
                          <w:p w14:paraId="2EFA3B1C">
                            <w:pPr>
                              <w:rPr>
                                <w:rFonts w:ascii="Times New Roman" w:hAnsi="Times New Roman" w:eastAsia="宋体" w:cs="Times New Roman"/>
                                <w:kern w:val="2"/>
                                <w:sz w:val="32"/>
                                <w:szCs w:val="24"/>
                                <w:lang w:val="en-US" w:eastAsia="zh-CN" w:bidi="ar-SA"/>
                              </w:rPr>
                            </w:pPr>
                            <w:r>
                              <w:rPr>
                                <w:rFonts w:hint="eastAsia" w:ascii="Times New Roman" w:hAnsi="Times New Roman" w:eastAsia="宋体" w:cs="Times New Roman"/>
                                <w:kern w:val="2"/>
                                <w:sz w:val="32"/>
                                <w:szCs w:val="24"/>
                                <w:lang w:val="en-US" w:eastAsia="zh-CN" w:bidi="ar-SA"/>
                              </w:rPr>
                              <w:t>监制</w:t>
                            </w:r>
                          </w:p>
                        </w:txbxContent>
                      </wps:txbx>
                      <wps:bodyPr upright="1"/>
                    </wps:wsp>
                  </a:graphicData>
                </a:graphic>
              </wp:anchor>
            </w:drawing>
          </mc:Choice>
          <mc:Fallback>
            <w:pict>
              <v:rect id="_x0000_s1026" o:spid="_x0000_s1026" o:spt="1" style="position:absolute;left:0pt;margin-left:324.7pt;margin-top:8.15pt;height:38.65pt;width:55.9pt;z-index:251659264;mso-width-relative:page;mso-height-relative:page;" fillcolor="#FFFFFF" filled="t" stroked="f" coordsize="21600,21600" o:gfxdata="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ktxNnXAAAACQEAAA8AAAAAAAAAAQAgAAAAIgAAAGRycy9kb3ducmV2LnhtbFBLAQIUABQAAAAI&#10;AIdO4kCUr2A0tQEAAGkDAAAOAAAAAAAAAAEAIAAAACYBAABkcnMvZTJvRG9jLnhtbFBLBQYAAAAA&#10;BgAGAFkBAABNBQAAAAA=&#10;">
                <v:fill on="t" focussize="0,0"/>
                <v:stroke on="f"/>
                <v:imagedata o:title=""/>
                <o:lock v:ext="edit" aspectratio="f"/>
                <v:textbox>
                  <w:txbxContent>
                    <w:p w14:paraId="2EFA3B1C">
                      <w:pPr>
                        <w:rPr>
                          <w:rFonts w:ascii="Times New Roman" w:hAnsi="Times New Roman" w:eastAsia="宋体" w:cs="Times New Roman"/>
                          <w:kern w:val="2"/>
                          <w:sz w:val="32"/>
                          <w:szCs w:val="24"/>
                          <w:lang w:val="en-US" w:eastAsia="zh-CN" w:bidi="ar-SA"/>
                        </w:rPr>
                      </w:pPr>
                      <w:r>
                        <w:rPr>
                          <w:rFonts w:hint="eastAsia" w:ascii="Times New Roman" w:hAnsi="Times New Roman" w:eastAsia="宋体" w:cs="Times New Roman"/>
                          <w:kern w:val="2"/>
                          <w:sz w:val="32"/>
                          <w:szCs w:val="24"/>
                          <w:lang w:val="en-US" w:eastAsia="zh-CN" w:bidi="ar-SA"/>
                        </w:rPr>
                        <w:t>监制</w:t>
                      </w:r>
                    </w:p>
                  </w:txbxContent>
                </v:textbox>
              </v:rect>
            </w:pict>
          </mc:Fallback>
        </mc:AlternateContent>
      </w:r>
      <w:r>
        <w:rPr>
          <w:rFonts w:hint="eastAsia" w:ascii="方正仿宋_GB2312" w:hAnsi="方正仿宋_GB2312" w:eastAsia="方正仿宋_GB2312" w:cs="方正仿宋_GB2312"/>
          <w:w w:val="90"/>
          <w:kern w:val="21"/>
          <w:sz w:val="32"/>
          <w:szCs w:val="32"/>
          <w:lang w:val="en-US" w:eastAsia="zh-CN" w:bidi="ar-SA"/>
        </w:rPr>
        <w:t>中华人民共和国建设部</w:t>
      </w:r>
    </w:p>
    <w:p w14:paraId="39772E7C">
      <w:pPr>
        <w:keepNext w:val="0"/>
        <w:keepLines w:val="0"/>
        <w:pageBreakBefore w:val="0"/>
        <w:widowControl w:val="0"/>
        <w:kinsoku/>
        <w:wordWrap/>
        <w:overflowPunct/>
        <w:topLinePunct w:val="0"/>
        <w:autoSpaceDE/>
        <w:autoSpaceDN/>
        <w:bidi w:val="0"/>
        <w:spacing w:line="500" w:lineRule="exact"/>
        <w:ind w:firstLine="3360" w:firstLineChars="1050"/>
        <w:jc w:val="both"/>
        <w:textAlignment w:val="auto"/>
        <w:rPr>
          <w:rFonts w:hint="eastAsia" w:ascii="方正仿宋_GB2312" w:hAnsi="方正仿宋_GB2312" w:eastAsia="方正仿宋_GB2312" w:cs="方正仿宋_GB2312"/>
          <w:kern w:val="52"/>
          <w:sz w:val="32"/>
          <w:szCs w:val="32"/>
          <w:lang w:val="en-US" w:eastAsia="zh-CN" w:bidi="ar-SA"/>
        </w:rPr>
      </w:pPr>
      <w:r>
        <w:rPr>
          <w:rFonts w:hint="eastAsia" w:ascii="方正仿宋_GB2312" w:hAnsi="方正仿宋_GB2312" w:eastAsia="方正仿宋_GB2312" w:cs="方正仿宋_GB2312"/>
          <w:kern w:val="52"/>
          <w:sz w:val="32"/>
          <w:szCs w:val="32"/>
          <w:lang w:val="en-US" w:eastAsia="zh-CN" w:bidi="ar-SA"/>
        </w:rPr>
        <w:t>国家工商行政管理局</w:t>
      </w:r>
    </w:p>
    <w:p w14:paraId="4D8344D6">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kern w:val="2"/>
          <w:sz w:val="32"/>
          <w:szCs w:val="32"/>
          <w:u w:val="single"/>
          <w:lang w:val="en-US" w:eastAsia="zh-CN" w:bidi="ar-SA"/>
        </w:rPr>
      </w:pPr>
    </w:p>
    <w:p w14:paraId="529DC499">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sz w:val="32"/>
          <w:szCs w:val="32"/>
        </w:rPr>
        <w:sectPr>
          <w:headerReference r:id="rId4" w:type="first"/>
          <w:footerReference r:id="rId7" w:type="first"/>
          <w:footerReference r:id="rId5" w:type="default"/>
          <w:headerReference r:id="rId3" w:type="even"/>
          <w:footerReference r:id="rId6" w:type="even"/>
          <w:pgSz w:w="11906" w:h="16838"/>
          <w:pgMar w:top="1440" w:right="1740" w:bottom="1440" w:left="1740" w:header="851" w:footer="992" w:gutter="0"/>
          <w:pgNumType w:start="1"/>
          <w:cols w:space="720" w:num="1"/>
          <w:titlePg/>
          <w:docGrid w:type="linesAndChars" w:linePitch="312" w:charSpace="0"/>
        </w:sectPr>
      </w:pPr>
    </w:p>
    <w:p w14:paraId="7FCB72ED">
      <w:pPr>
        <w:keepNext w:val="0"/>
        <w:keepLines w:val="0"/>
        <w:pageBreakBefore w:val="0"/>
        <w:widowControl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发包人</w:t>
      </w:r>
      <w:r>
        <w:rPr>
          <w:rFonts w:hint="eastAsia" w:ascii="方正仿宋_GB2312" w:hAnsi="方正仿宋_GB2312" w:eastAsia="方正仿宋_GB2312" w:cs="方正仿宋_GB2312"/>
          <w:b/>
          <w:bCs/>
          <w:color w:val="auto"/>
          <w:kern w:val="2"/>
          <w:sz w:val="32"/>
          <w:szCs w:val="32"/>
          <w:lang w:val="en-US" w:eastAsia="zh-CN" w:bidi="ar-SA"/>
        </w:rPr>
        <w:t>：</w:t>
      </w:r>
      <w:r>
        <w:rPr>
          <w:rFonts w:hint="eastAsia" w:ascii="方正仿宋_GB2312" w:hAnsi="方正仿宋_GB2312" w:eastAsia="方正仿宋_GB2312" w:cs="方正仿宋_GB2312"/>
          <w:bCs/>
          <w:color w:val="auto"/>
          <w:kern w:val="2"/>
          <w:sz w:val="32"/>
          <w:szCs w:val="32"/>
          <w:u w:val="single"/>
          <w:lang w:val="en-US" w:eastAsia="zh-CN" w:bidi="ar-SA"/>
        </w:rPr>
        <w:t xml:space="preserve"> 万基铝业（新疆）有限公司 </w:t>
      </w:r>
    </w:p>
    <w:p w14:paraId="74151711">
      <w:pPr>
        <w:keepNext w:val="0"/>
        <w:keepLines w:val="0"/>
        <w:pageBreakBefore w:val="0"/>
        <w:widowControl w:val="0"/>
        <w:tabs>
          <w:tab w:val="left" w:pos="9240"/>
        </w:tabs>
        <w:kinsoku/>
        <w:wordWrap/>
        <w:overflowPunct/>
        <w:topLinePunct w:val="0"/>
        <w:autoSpaceDE/>
        <w:autoSpaceDN/>
        <w:bidi w:val="0"/>
        <w:adjustRightInd w:val="0"/>
        <w:snapToGrid w:val="0"/>
        <w:spacing w:line="500" w:lineRule="exact"/>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承包人：</w:t>
      </w:r>
      <w:r>
        <w:rPr>
          <w:rFonts w:hint="eastAsia" w:ascii="方正仿宋_GB2312" w:hAnsi="方正仿宋_GB2312" w:eastAsia="方正仿宋_GB2312" w:cs="方正仿宋_GB2312"/>
          <w:bCs/>
          <w:kern w:val="2"/>
          <w:sz w:val="32"/>
          <w:szCs w:val="32"/>
          <w:u w:val="single"/>
          <w:lang w:val="en-US" w:eastAsia="zh-CN" w:bidi="ar-SA"/>
        </w:rPr>
        <w:t xml:space="preserve">                          </w:t>
      </w:r>
    </w:p>
    <w:p w14:paraId="4CE02424">
      <w:pPr>
        <w:keepNext w:val="0"/>
        <w:keepLines w:val="0"/>
        <w:pageBreakBefore w:val="0"/>
        <w:widowControl w:val="0"/>
        <w:kinsoku/>
        <w:wordWrap/>
        <w:overflowPunct/>
        <w:topLinePunct w:val="0"/>
        <w:autoSpaceDE/>
        <w:autoSpaceDN/>
        <w:bidi w:val="0"/>
        <w:adjustRightInd w:val="0"/>
        <w:snapToGrid w:val="0"/>
        <w:spacing w:line="500" w:lineRule="exact"/>
        <w:ind w:firstLine="800" w:firstLineChars="25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发包人委托承包人</w:t>
      </w:r>
      <w:r>
        <w:rPr>
          <w:rFonts w:hint="eastAsia" w:ascii="方正仿宋_GB2312" w:hAnsi="方正仿宋_GB2312" w:eastAsia="方正仿宋_GB2312" w:cs="方正仿宋_GB2312"/>
          <w:color w:val="auto"/>
          <w:kern w:val="2"/>
          <w:sz w:val="32"/>
          <w:szCs w:val="32"/>
          <w:lang w:val="en-US" w:eastAsia="zh-CN" w:bidi="ar-SA"/>
        </w:rPr>
        <w:t>承担</w:t>
      </w:r>
      <w:r>
        <w:rPr>
          <w:rFonts w:hint="eastAsia" w:ascii="方正仿宋_GB2312" w:hAnsi="方正仿宋_GB2312" w:eastAsia="方正仿宋_GB2312" w:cs="方正仿宋_GB2312"/>
          <w:color w:val="auto"/>
          <w:kern w:val="2"/>
          <w:sz w:val="32"/>
          <w:szCs w:val="32"/>
          <w:u w:val="single"/>
          <w:lang w:val="en-US" w:eastAsia="zh-CN" w:bidi="ar-SA"/>
        </w:rPr>
        <w:t>万基铝业（新疆）有限公司58万吨电解铝建设项目厂区沉降观测及深基坑监测服务</w:t>
      </w:r>
      <w:r>
        <w:rPr>
          <w:rFonts w:hint="eastAsia" w:ascii="方正仿宋_GB2312" w:hAnsi="方正仿宋_GB2312" w:eastAsia="方正仿宋_GB2312" w:cs="方正仿宋_GB2312"/>
          <w:kern w:val="2"/>
          <w:sz w:val="32"/>
          <w:szCs w:val="32"/>
          <w:lang w:val="en-US" w:eastAsia="zh-CN" w:bidi="ar-SA"/>
        </w:rPr>
        <w:t>，工程地点</w:t>
      </w:r>
      <w:r>
        <w:rPr>
          <w:rFonts w:hint="eastAsia" w:ascii="方正仿宋_GB2312" w:hAnsi="方正仿宋_GB2312" w:eastAsia="方正仿宋_GB2312" w:cs="方正仿宋_GB2312"/>
          <w:color w:val="auto"/>
          <w:kern w:val="2"/>
          <w:sz w:val="32"/>
          <w:szCs w:val="32"/>
          <w:lang w:val="en-US" w:eastAsia="zh-CN" w:bidi="ar-SA"/>
        </w:rPr>
        <w:t>为</w:t>
      </w:r>
      <w:r>
        <w:rPr>
          <w:rFonts w:hint="eastAsia" w:ascii="方正仿宋_GB2312" w:hAnsi="方正仿宋_GB2312" w:eastAsia="方正仿宋_GB2312" w:cs="方正仿宋_GB2312"/>
          <w:color w:val="auto"/>
          <w:kern w:val="2"/>
          <w:sz w:val="32"/>
          <w:szCs w:val="32"/>
          <w:u w:val="single"/>
          <w:lang w:val="en-US" w:eastAsia="zh-CN" w:bidi="ar-SA"/>
        </w:rPr>
        <w:t>新疆生产建设兵团第十三师新星市新星经济技术开发区骆驼圈子产业园</w:t>
      </w:r>
      <w:r>
        <w:rPr>
          <w:rFonts w:hint="eastAsia" w:ascii="方正仿宋_GB2312" w:hAnsi="方正仿宋_GB2312" w:eastAsia="方正仿宋_GB2312" w:cs="方正仿宋_GB2312"/>
          <w:kern w:val="2"/>
          <w:sz w:val="32"/>
          <w:szCs w:val="32"/>
          <w:lang w:val="en-US" w:eastAsia="zh-CN" w:bidi="ar-SA"/>
        </w:rPr>
        <w:t>，经双方协商一致，签订本合同，共同执行。</w:t>
      </w:r>
    </w:p>
    <w:p w14:paraId="6ED234D3">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第一条 </w:t>
      </w:r>
      <w:r>
        <w:rPr>
          <w:rFonts w:hint="eastAsia" w:ascii="方正仿宋_GB2312" w:hAnsi="方正仿宋_GB2312" w:eastAsia="方正仿宋_GB2312" w:cs="方正仿宋_GB2312"/>
          <w:b/>
          <w:kern w:val="2"/>
          <w:sz w:val="32"/>
          <w:szCs w:val="32"/>
          <w:lang w:val="en-US" w:eastAsia="zh-CN" w:bidi="ar-SA"/>
        </w:rPr>
        <w:t>本合同签订论据</w:t>
      </w:r>
    </w:p>
    <w:p w14:paraId="06214089">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1.1 《中华人民共和国民法典》、《中华人民共和国建筑法》。</w:t>
      </w:r>
    </w:p>
    <w:p w14:paraId="20E05B8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 国家及地方有关建筑基坑监测、变形沉降观测法规、规章与现行规范。</w:t>
      </w:r>
    </w:p>
    <w:p w14:paraId="78DEB79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1.3 本工程项目立项、施工相关审批文件。</w:t>
      </w:r>
    </w:p>
    <w:p w14:paraId="39E4439A">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第二条 </w:t>
      </w:r>
      <w:r>
        <w:rPr>
          <w:rFonts w:hint="eastAsia" w:ascii="方正仿宋_GB2312" w:hAnsi="方正仿宋_GB2312" w:eastAsia="方正仿宋_GB2312" w:cs="方正仿宋_GB2312"/>
          <w:b/>
          <w:kern w:val="2"/>
          <w:sz w:val="32"/>
          <w:szCs w:val="32"/>
          <w:lang w:val="en-US" w:eastAsia="zh-CN" w:bidi="ar-SA"/>
        </w:rPr>
        <w:t>监(观)测依据</w:t>
      </w:r>
    </w:p>
    <w:p w14:paraId="6CEB5B9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2.1 发包人提供的地质勘察报告、基坑支护方案、施工图纸、场地控制点、周边管线资料等基础资料；</w:t>
      </w:r>
    </w:p>
    <w:p w14:paraId="2A0287B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color w:val="0000FF"/>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2.2 现行《建筑基坑工程监测技术标准》、《建筑变形测量规范》、《工程测量规范》等国家及地方现行有效技术标准。</w:t>
      </w:r>
    </w:p>
    <w:p w14:paraId="776C3A51">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第三条 </w:t>
      </w:r>
      <w:r>
        <w:rPr>
          <w:rFonts w:hint="eastAsia" w:ascii="方正仿宋_GB2312" w:hAnsi="方正仿宋_GB2312" w:eastAsia="方正仿宋_GB2312" w:cs="方正仿宋_GB2312"/>
          <w:b/>
          <w:kern w:val="2"/>
          <w:sz w:val="32"/>
          <w:szCs w:val="32"/>
          <w:lang w:val="en-US" w:eastAsia="zh-CN" w:bidi="ar-SA"/>
        </w:rPr>
        <w:t>合同文件的优先次序</w:t>
      </w:r>
    </w:p>
    <w:p w14:paraId="195C705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构成本合同的文件可视为是能互相说明的，如果合同文件存在歧义或不一致，则根据如下优先次序来判断：</w:t>
      </w:r>
    </w:p>
    <w:p w14:paraId="4B1F1DC1">
      <w:pPr>
        <w:keepNext w:val="0"/>
        <w:keepLines w:val="0"/>
        <w:pageBreakBefore w:val="0"/>
        <w:widowControl w:val="0"/>
        <w:kinsoku/>
        <w:wordWrap/>
        <w:overflowPunct/>
        <w:topLinePunct w:val="0"/>
        <w:autoSpaceDE/>
        <w:autoSpaceDN/>
        <w:bidi w:val="0"/>
        <w:adjustRightInd w:val="0"/>
        <w:snapToGrid w:val="0"/>
        <w:spacing w:line="500" w:lineRule="exact"/>
        <w:ind w:firstLine="555"/>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3.1 合同书</w:t>
      </w:r>
    </w:p>
    <w:p w14:paraId="4086DC96">
      <w:pPr>
        <w:keepNext w:val="0"/>
        <w:keepLines w:val="0"/>
        <w:pageBreakBefore w:val="0"/>
        <w:widowControl w:val="0"/>
        <w:kinsoku/>
        <w:wordWrap/>
        <w:overflowPunct/>
        <w:topLinePunct w:val="0"/>
        <w:autoSpaceDE/>
        <w:autoSpaceDN/>
        <w:bidi w:val="0"/>
        <w:adjustRightInd w:val="0"/>
        <w:snapToGrid w:val="0"/>
        <w:spacing w:line="500" w:lineRule="exact"/>
        <w:ind w:firstLine="555"/>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3.2 中标通知书</w:t>
      </w:r>
    </w:p>
    <w:p w14:paraId="70BAAED6">
      <w:pPr>
        <w:keepNext w:val="0"/>
        <w:keepLines w:val="0"/>
        <w:pageBreakBefore w:val="0"/>
        <w:widowControl w:val="0"/>
        <w:kinsoku/>
        <w:wordWrap/>
        <w:overflowPunct/>
        <w:topLinePunct w:val="0"/>
        <w:autoSpaceDE/>
        <w:autoSpaceDN/>
        <w:bidi w:val="0"/>
        <w:adjustRightInd w:val="0"/>
        <w:snapToGrid w:val="0"/>
        <w:spacing w:line="500" w:lineRule="exact"/>
        <w:ind w:firstLine="555"/>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3.3 投标文件</w:t>
      </w:r>
    </w:p>
    <w:p w14:paraId="4AE23C64">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第四条 </w:t>
      </w:r>
      <w:r>
        <w:rPr>
          <w:rFonts w:hint="eastAsia" w:ascii="方正仿宋_GB2312" w:hAnsi="方正仿宋_GB2312" w:eastAsia="方正仿宋_GB2312" w:cs="方正仿宋_GB2312"/>
          <w:b/>
          <w:kern w:val="2"/>
          <w:sz w:val="32"/>
          <w:szCs w:val="32"/>
          <w:lang w:val="en-US" w:eastAsia="zh-CN" w:bidi="ar-SA"/>
        </w:rPr>
        <w:t>本合同项目的名称、服务内容及工作量、服务期限</w:t>
      </w:r>
    </w:p>
    <w:p w14:paraId="11A70C9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color w:val="auto"/>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4.1 项目名称：</w:t>
      </w:r>
      <w:r>
        <w:rPr>
          <w:rFonts w:hint="eastAsia" w:ascii="方正仿宋_GB2312" w:hAnsi="方正仿宋_GB2312" w:eastAsia="方正仿宋_GB2312" w:cs="方正仿宋_GB2312"/>
          <w:color w:val="auto"/>
          <w:kern w:val="2"/>
          <w:sz w:val="32"/>
          <w:szCs w:val="32"/>
          <w:u w:val="single"/>
          <w:lang w:val="en-US" w:eastAsia="zh-CN" w:bidi="ar-SA"/>
        </w:rPr>
        <w:t>万基铝业（新疆）有限公司58万吨电解铝建设项目厂区沉降观测及深基坑监测服务。</w:t>
      </w:r>
    </w:p>
    <w:p w14:paraId="14CBC06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4.2 服务内容及工作量</w:t>
      </w:r>
    </w:p>
    <w:p w14:paraId="637810D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4.2.1 服务内容：</w:t>
      </w:r>
      <w:r>
        <w:rPr>
          <w:rFonts w:hint="eastAsia" w:ascii="方正仿宋_GB2312" w:hAnsi="方正仿宋_GB2312" w:eastAsia="方正仿宋_GB2312" w:cs="方正仿宋_GB2312"/>
          <w:kern w:val="2"/>
          <w:sz w:val="32"/>
          <w:szCs w:val="32"/>
          <w:u w:val="single"/>
          <w:lang w:val="en-US" w:eastAsia="zh-CN" w:bidi="ar-SA"/>
        </w:rPr>
        <w:t>万基铝业（新疆）有限公司58万吨电解铝建设项目所有深基坑工程监测（包括并不限于新鲜氧化铝贮运设施、初期雨水收集池及提升泵站等，具体以设计为准）；厂区主要建（构）筑物的沉降观测（具体以设计为准）</w:t>
      </w:r>
      <w:r>
        <w:rPr>
          <w:rFonts w:hint="eastAsia" w:ascii="方正仿宋_GB2312" w:hAnsi="方正仿宋_GB2312" w:eastAsia="方正仿宋_GB2312" w:cs="方正仿宋_GB2312"/>
          <w:kern w:val="2"/>
          <w:sz w:val="32"/>
          <w:szCs w:val="32"/>
          <w:lang w:val="en-US" w:eastAsia="zh-CN" w:bidi="ar-SA"/>
        </w:rPr>
        <w:t>。</w:t>
      </w:r>
    </w:p>
    <w:p w14:paraId="7F1103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4.2.2 工作量</w:t>
      </w:r>
      <w:r>
        <w:rPr>
          <w:rFonts w:hint="eastAsia" w:ascii="方正仿宋_GB2312" w:hAnsi="方正仿宋_GB2312" w:eastAsia="方正仿宋_GB2312" w:cs="方正仿宋_GB2312"/>
          <w:kern w:val="2"/>
          <w:sz w:val="32"/>
          <w:szCs w:val="32"/>
          <w:u w:val="single"/>
          <w:lang w:val="en-US" w:eastAsia="zh-CN" w:bidi="ar-SA"/>
        </w:rPr>
        <w:t>：①暂定深基坑监测点数50个，监测频次30次；②沉降观测点数约873个，观测次数暂定为10次，具体需满足规范及设计要求，最终以实际监测（观测）工作量结算。</w:t>
      </w:r>
    </w:p>
    <w:p w14:paraId="3F0A8C4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4.3 服务期限</w:t>
      </w:r>
    </w:p>
    <w:p w14:paraId="2129AB5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4.3.1 工期暂定为2026年 月起至2029年 月，具体进场服务日期以发包人通知为准，监测与观测服务依据工程建设需要开展，满足发包人进度要求。</w:t>
      </w:r>
    </w:p>
    <w:p w14:paraId="15C6C3E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4.3.2 服务进度阶段：监测点位布设-基坑开挖及支护全过程监测-基坑土方回填完工；建筑物从主体施工起至沉降观测数据连续稳定、满足规范终止观测。</w:t>
      </w:r>
    </w:p>
    <w:p w14:paraId="1013A1D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4.4 发包方负责内容</w:t>
      </w:r>
    </w:p>
    <w:p w14:paraId="0D5FE8E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负责施工现场协调，督促施工单位布设沉降观测点、保护监测点位，按期提供全套基础资料，组织阶段性监测成果核查验收。</w:t>
      </w:r>
    </w:p>
    <w:p w14:paraId="29B2859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4.5 承包人负责内容</w:t>
      </w:r>
    </w:p>
    <w:p w14:paraId="2791789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布设基坑坡顶位移、深层测斜、地下水位、地表、周边建构筑物及建筑物沉降观测基准点；按规范频次开展常态化监测，异常数据加密观测；超标第一时间书面预警；编制季度监（观）测报告、竣工总结报告；配合竣工验收、主管部门检查及资料归档。</w:t>
      </w:r>
    </w:p>
    <w:p w14:paraId="5F31869F">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color w:val="0000FF"/>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第五条 发包人向承包人提交的有关资料、文件及时间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041"/>
        <w:gridCol w:w="999"/>
        <w:gridCol w:w="2543"/>
        <w:gridCol w:w="1025"/>
      </w:tblGrid>
      <w:tr w14:paraId="6D7E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93" w:type="dxa"/>
            <w:noWrap w:val="0"/>
            <w:vAlign w:val="center"/>
          </w:tcPr>
          <w:p w14:paraId="56E98AA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序号</w:t>
            </w:r>
          </w:p>
        </w:tc>
        <w:tc>
          <w:tcPr>
            <w:tcW w:w="3041" w:type="dxa"/>
            <w:noWrap w:val="0"/>
            <w:vAlign w:val="center"/>
          </w:tcPr>
          <w:p w14:paraId="4EBEFF0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资料及文件名称</w:t>
            </w:r>
          </w:p>
        </w:tc>
        <w:tc>
          <w:tcPr>
            <w:tcW w:w="999" w:type="dxa"/>
            <w:noWrap w:val="0"/>
            <w:vAlign w:val="center"/>
          </w:tcPr>
          <w:p w14:paraId="65E02FD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份数</w:t>
            </w:r>
          </w:p>
        </w:tc>
        <w:tc>
          <w:tcPr>
            <w:tcW w:w="2543" w:type="dxa"/>
            <w:noWrap w:val="0"/>
            <w:vAlign w:val="center"/>
          </w:tcPr>
          <w:p w14:paraId="770ED60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提交时间</w:t>
            </w:r>
          </w:p>
        </w:tc>
        <w:tc>
          <w:tcPr>
            <w:tcW w:w="1025" w:type="dxa"/>
            <w:noWrap w:val="0"/>
            <w:vAlign w:val="center"/>
          </w:tcPr>
          <w:p w14:paraId="34F061B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备注</w:t>
            </w:r>
          </w:p>
        </w:tc>
      </w:tr>
      <w:tr w14:paraId="610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93" w:type="dxa"/>
            <w:noWrap w:val="0"/>
            <w:vAlign w:val="center"/>
          </w:tcPr>
          <w:p w14:paraId="545DF75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w:t>
            </w:r>
          </w:p>
        </w:tc>
        <w:tc>
          <w:tcPr>
            <w:tcW w:w="3041" w:type="dxa"/>
            <w:noWrap w:val="0"/>
            <w:vAlign w:val="center"/>
          </w:tcPr>
          <w:p w14:paraId="24649214">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岩土勘察报告、基坑支护图纸</w:t>
            </w:r>
          </w:p>
        </w:tc>
        <w:tc>
          <w:tcPr>
            <w:tcW w:w="999" w:type="dxa"/>
            <w:noWrap w:val="0"/>
            <w:vAlign w:val="center"/>
          </w:tcPr>
          <w:p w14:paraId="5E0C8DA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w:t>
            </w:r>
          </w:p>
        </w:tc>
        <w:tc>
          <w:tcPr>
            <w:tcW w:w="2543" w:type="dxa"/>
            <w:noWrap w:val="0"/>
            <w:vAlign w:val="center"/>
          </w:tcPr>
          <w:p w14:paraId="2159750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合同生效后3日内</w:t>
            </w:r>
          </w:p>
        </w:tc>
        <w:tc>
          <w:tcPr>
            <w:tcW w:w="1025" w:type="dxa"/>
            <w:noWrap w:val="0"/>
            <w:vAlign w:val="center"/>
          </w:tcPr>
          <w:p w14:paraId="13520F2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p>
        </w:tc>
      </w:tr>
      <w:tr w14:paraId="566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93" w:type="dxa"/>
            <w:noWrap w:val="0"/>
            <w:vAlign w:val="center"/>
          </w:tcPr>
          <w:p w14:paraId="7A6CD9C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w:t>
            </w:r>
          </w:p>
        </w:tc>
        <w:tc>
          <w:tcPr>
            <w:tcW w:w="3041" w:type="dxa"/>
            <w:noWrap w:val="0"/>
            <w:vAlign w:val="center"/>
          </w:tcPr>
          <w:p w14:paraId="3B7E1A9B">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总平面图、建筑施工图、地下管线探查资料</w:t>
            </w:r>
          </w:p>
        </w:tc>
        <w:tc>
          <w:tcPr>
            <w:tcW w:w="999" w:type="dxa"/>
            <w:noWrap w:val="0"/>
            <w:vAlign w:val="center"/>
          </w:tcPr>
          <w:p w14:paraId="5E6F551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w:t>
            </w:r>
          </w:p>
        </w:tc>
        <w:tc>
          <w:tcPr>
            <w:tcW w:w="2543" w:type="dxa"/>
            <w:noWrap w:val="0"/>
            <w:vAlign w:val="center"/>
          </w:tcPr>
          <w:p w14:paraId="24D4BDC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合同生效后3日内</w:t>
            </w:r>
          </w:p>
        </w:tc>
        <w:tc>
          <w:tcPr>
            <w:tcW w:w="1025" w:type="dxa"/>
            <w:noWrap w:val="0"/>
            <w:vAlign w:val="center"/>
          </w:tcPr>
          <w:p w14:paraId="3D50BF3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p>
        </w:tc>
      </w:tr>
      <w:tr w14:paraId="74FC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93" w:type="dxa"/>
            <w:noWrap w:val="0"/>
            <w:vAlign w:val="center"/>
          </w:tcPr>
          <w:p w14:paraId="19D4B01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w:t>
            </w:r>
          </w:p>
        </w:tc>
        <w:tc>
          <w:tcPr>
            <w:tcW w:w="3041" w:type="dxa"/>
            <w:noWrap w:val="0"/>
            <w:vAlign w:val="center"/>
          </w:tcPr>
          <w:p w14:paraId="48FA7AA6">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厂区控制（网）点资料</w:t>
            </w:r>
          </w:p>
        </w:tc>
        <w:tc>
          <w:tcPr>
            <w:tcW w:w="999" w:type="dxa"/>
            <w:noWrap w:val="0"/>
            <w:vAlign w:val="center"/>
          </w:tcPr>
          <w:p w14:paraId="64F723B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w:t>
            </w:r>
          </w:p>
        </w:tc>
        <w:tc>
          <w:tcPr>
            <w:tcW w:w="2543" w:type="dxa"/>
            <w:noWrap w:val="0"/>
            <w:vAlign w:val="center"/>
          </w:tcPr>
          <w:p w14:paraId="0F705FF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点位布设前2日</w:t>
            </w:r>
          </w:p>
        </w:tc>
        <w:tc>
          <w:tcPr>
            <w:tcW w:w="1025" w:type="dxa"/>
            <w:noWrap w:val="0"/>
            <w:vAlign w:val="center"/>
          </w:tcPr>
          <w:p w14:paraId="0B76889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2"/>
                <w:sz w:val="32"/>
                <w:szCs w:val="32"/>
                <w:lang w:val="en-US" w:eastAsia="zh-CN" w:bidi="ar-SA"/>
              </w:rPr>
            </w:pPr>
          </w:p>
        </w:tc>
      </w:tr>
    </w:tbl>
    <w:p w14:paraId="3C8312E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发包人对提交资料真实性、准确性负责，承包人收到资料进行审核，发现疑问时书面告知；资料交付逾期5日内，监测工期顺延，逾期超5日，承包人可重新约定服务起止时间。</w:t>
      </w:r>
    </w:p>
    <w:p w14:paraId="0182239A">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第六条 </w:t>
      </w:r>
      <w:r>
        <w:rPr>
          <w:rFonts w:hint="eastAsia" w:ascii="方正仿宋_GB2312" w:hAnsi="方正仿宋_GB2312" w:eastAsia="方正仿宋_GB2312" w:cs="方正仿宋_GB2312"/>
          <w:b/>
          <w:kern w:val="2"/>
          <w:sz w:val="32"/>
          <w:szCs w:val="32"/>
          <w:lang w:val="en-US" w:eastAsia="zh-CN" w:bidi="ar-SA"/>
        </w:rPr>
        <w:t>承包人向发包人交付的成果文件、份数、地点及时间</w:t>
      </w:r>
    </w:p>
    <w:p w14:paraId="41ADC8F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6.1 提交成果文件目录：监测方案、原始观测台账、监测报告、阶段性观测成果表、项目竣工总结沉降观测报告。</w:t>
      </w:r>
    </w:p>
    <w:p w14:paraId="49DA4DC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6.2 份数：最终成果报告资料纸质6份，电子版1份。</w:t>
      </w:r>
    </w:p>
    <w:p w14:paraId="3F4C6F8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6.3 交付地点：发包方项目所在地。</w:t>
      </w:r>
    </w:p>
    <w:p w14:paraId="32D21AB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6.4 交付时间：项目履约期间按进度节点提交监（观）测成果；监（观）测服务结束后</w:t>
      </w:r>
      <w:r>
        <w:rPr>
          <w:rFonts w:hint="eastAsia" w:ascii="方正仿宋_GB2312" w:hAnsi="方正仿宋_GB2312" w:eastAsia="方正仿宋_GB2312" w:cs="方正仿宋_GB2312"/>
          <w:kern w:val="2"/>
          <w:sz w:val="32"/>
          <w:szCs w:val="32"/>
          <w:u w:val="single"/>
          <w:lang w:val="en-US" w:eastAsia="zh-CN" w:bidi="ar-SA"/>
        </w:rPr>
        <w:t xml:space="preserve"> 15 </w:t>
      </w:r>
      <w:r>
        <w:rPr>
          <w:rFonts w:hint="eastAsia" w:ascii="方正仿宋_GB2312" w:hAnsi="方正仿宋_GB2312" w:eastAsia="方正仿宋_GB2312" w:cs="方正仿宋_GB2312"/>
          <w:kern w:val="2"/>
          <w:sz w:val="32"/>
          <w:szCs w:val="32"/>
          <w:lang w:val="en-US" w:eastAsia="zh-CN" w:bidi="ar-SA"/>
        </w:rPr>
        <w:t>日内提交全套竣工总结资料。</w:t>
      </w:r>
    </w:p>
    <w:p w14:paraId="2E58AC9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6.5 发包人要求增加合同约定以外份数报告，发包人另行承担打印工本费。</w:t>
      </w:r>
    </w:p>
    <w:p w14:paraId="66A149FC">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bCs/>
          <w:color w:val="0000FF"/>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第七条 </w:t>
      </w:r>
      <w:r>
        <w:rPr>
          <w:rFonts w:hint="eastAsia" w:ascii="方正仿宋_GB2312" w:hAnsi="方正仿宋_GB2312" w:eastAsia="方正仿宋_GB2312" w:cs="方正仿宋_GB2312"/>
          <w:b/>
          <w:kern w:val="2"/>
          <w:sz w:val="32"/>
          <w:szCs w:val="32"/>
          <w:lang w:val="en-US" w:eastAsia="zh-CN" w:bidi="ar-SA"/>
        </w:rPr>
        <w:t>费用</w:t>
      </w:r>
    </w:p>
    <w:p w14:paraId="4D0BFF1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7.1 签约合同价为：</w:t>
      </w:r>
    </w:p>
    <w:p w14:paraId="40B2DB4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人民币（大写）</w:t>
      </w:r>
      <w:r>
        <w:rPr>
          <w:rFonts w:hint="eastAsia" w:ascii="方正仿宋_GB2312" w:hAnsi="方正仿宋_GB2312" w:eastAsia="方正仿宋_GB2312" w:cs="方正仿宋_GB2312"/>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lang w:val="en-US" w:eastAsia="zh-CN" w:bidi="ar-SA"/>
        </w:rPr>
        <w:t>(¥</w:t>
      </w:r>
      <w:r>
        <w:rPr>
          <w:rFonts w:hint="eastAsia" w:ascii="方正仿宋_GB2312" w:hAnsi="方正仿宋_GB2312" w:eastAsia="方正仿宋_GB2312" w:cs="方正仿宋_GB2312"/>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lang w:val="en-US" w:eastAsia="zh-CN" w:bidi="ar-SA"/>
        </w:rPr>
        <w:t>元，含</w:t>
      </w:r>
      <w:r>
        <w:rPr>
          <w:rFonts w:hint="eastAsia" w:ascii="方正仿宋_GB2312" w:hAnsi="方正仿宋_GB2312" w:eastAsia="方正仿宋_GB2312" w:cs="方正仿宋_GB2312"/>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lang w:val="en-US" w:eastAsia="zh-CN" w:bidi="ar-SA"/>
        </w:rPr>
        <w:t>%增值税)；不含税价：</w:t>
      </w:r>
      <w:r>
        <w:rPr>
          <w:rFonts w:hint="eastAsia" w:ascii="方正仿宋_GB2312" w:hAnsi="方正仿宋_GB2312" w:eastAsia="方正仿宋_GB2312" w:cs="方正仿宋_GB2312"/>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lang w:val="en-US" w:eastAsia="zh-CN" w:bidi="ar-SA"/>
        </w:rPr>
        <w:t>元，税额：</w:t>
      </w:r>
      <w:r>
        <w:rPr>
          <w:rFonts w:hint="eastAsia" w:ascii="方正仿宋_GB2312" w:hAnsi="方正仿宋_GB2312" w:eastAsia="方正仿宋_GB2312" w:cs="方正仿宋_GB2312"/>
          <w:kern w:val="2"/>
          <w:sz w:val="32"/>
          <w:szCs w:val="32"/>
          <w:u w:val="single"/>
          <w:lang w:val="en-US" w:eastAsia="zh-CN" w:bidi="ar-SA"/>
        </w:rPr>
        <w:t xml:space="preserve">         </w:t>
      </w:r>
      <w:r>
        <w:rPr>
          <w:rFonts w:hint="eastAsia" w:ascii="方正仿宋_GB2312" w:hAnsi="方正仿宋_GB2312" w:eastAsia="方正仿宋_GB2312" w:cs="方正仿宋_GB2312"/>
          <w:kern w:val="2"/>
          <w:sz w:val="32"/>
          <w:szCs w:val="32"/>
          <w:lang w:val="en-US" w:eastAsia="zh-CN" w:bidi="ar-SA"/>
        </w:rPr>
        <w:t>元。</w:t>
      </w:r>
    </w:p>
    <w:p w14:paraId="0A9E0781">
      <w:pPr>
        <w:pStyle w:val="3"/>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7.2 服务内容和费用：</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150"/>
        <w:gridCol w:w="3582"/>
        <w:gridCol w:w="1073"/>
        <w:gridCol w:w="937"/>
      </w:tblGrid>
      <w:tr w14:paraId="1C7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79" w:type="dxa"/>
            <w:vAlign w:val="center"/>
          </w:tcPr>
          <w:p w14:paraId="5AA61FA3">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服务内容</w:t>
            </w:r>
          </w:p>
        </w:tc>
        <w:tc>
          <w:tcPr>
            <w:tcW w:w="0" w:type="auto"/>
            <w:vAlign w:val="center"/>
          </w:tcPr>
          <w:p w14:paraId="0939C29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单价</w:t>
            </w:r>
          </w:p>
        </w:tc>
        <w:tc>
          <w:tcPr>
            <w:tcW w:w="3582" w:type="dxa"/>
            <w:vAlign w:val="center"/>
          </w:tcPr>
          <w:p w14:paraId="1A447878">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工作量</w:t>
            </w:r>
          </w:p>
        </w:tc>
        <w:tc>
          <w:tcPr>
            <w:tcW w:w="0" w:type="auto"/>
            <w:vAlign w:val="center"/>
          </w:tcPr>
          <w:p w14:paraId="305EED60">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金额</w:t>
            </w:r>
          </w:p>
          <w:p w14:paraId="31B60F18">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（元）</w:t>
            </w:r>
          </w:p>
        </w:tc>
        <w:tc>
          <w:tcPr>
            <w:tcW w:w="937" w:type="dxa"/>
            <w:vAlign w:val="center"/>
          </w:tcPr>
          <w:p w14:paraId="685618EB">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备注</w:t>
            </w:r>
          </w:p>
        </w:tc>
      </w:tr>
      <w:tr w14:paraId="154C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79" w:type="dxa"/>
            <w:vAlign w:val="center"/>
          </w:tcPr>
          <w:p w14:paraId="0B065677">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深基坑监测</w:t>
            </w:r>
          </w:p>
        </w:tc>
        <w:tc>
          <w:tcPr>
            <w:tcW w:w="0" w:type="auto"/>
            <w:vAlign w:val="center"/>
          </w:tcPr>
          <w:p w14:paraId="0F3FB734">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/点·次</w:t>
            </w:r>
          </w:p>
        </w:tc>
        <w:tc>
          <w:tcPr>
            <w:tcW w:w="3582" w:type="dxa"/>
            <w:vAlign w:val="center"/>
          </w:tcPr>
          <w:p w14:paraId="5A783814">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监测点数50个，监测频次30次</w:t>
            </w:r>
          </w:p>
        </w:tc>
        <w:tc>
          <w:tcPr>
            <w:tcW w:w="0" w:type="auto"/>
            <w:vAlign w:val="center"/>
          </w:tcPr>
          <w:p w14:paraId="13F867BB">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sz w:val="28"/>
                <w:szCs w:val="28"/>
                <w:lang w:val="en-US" w:eastAsia="zh-CN"/>
              </w:rPr>
            </w:pPr>
          </w:p>
        </w:tc>
        <w:tc>
          <w:tcPr>
            <w:tcW w:w="937" w:type="dxa"/>
            <w:vAlign w:val="center"/>
          </w:tcPr>
          <w:p w14:paraId="1CB1DD1D">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p>
        </w:tc>
      </w:tr>
      <w:tr w14:paraId="6B7B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79" w:type="dxa"/>
            <w:vAlign w:val="center"/>
          </w:tcPr>
          <w:p w14:paraId="647414C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沉降观测</w:t>
            </w:r>
          </w:p>
        </w:tc>
        <w:tc>
          <w:tcPr>
            <w:tcW w:w="0" w:type="auto"/>
            <w:vAlign w:val="center"/>
          </w:tcPr>
          <w:p w14:paraId="4B4C45A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/点·次</w:t>
            </w:r>
          </w:p>
        </w:tc>
        <w:tc>
          <w:tcPr>
            <w:tcW w:w="3582" w:type="dxa"/>
            <w:vAlign w:val="center"/>
          </w:tcPr>
          <w:p w14:paraId="67C8941F">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观测点数873个，观测次数10次</w:t>
            </w:r>
          </w:p>
        </w:tc>
        <w:tc>
          <w:tcPr>
            <w:tcW w:w="0" w:type="auto"/>
            <w:vAlign w:val="center"/>
          </w:tcPr>
          <w:p w14:paraId="32683E8D">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sz w:val="28"/>
                <w:szCs w:val="28"/>
                <w:lang w:val="en-US" w:eastAsia="zh-CN"/>
              </w:rPr>
            </w:pPr>
          </w:p>
        </w:tc>
        <w:tc>
          <w:tcPr>
            <w:tcW w:w="937" w:type="dxa"/>
            <w:vAlign w:val="center"/>
          </w:tcPr>
          <w:p w14:paraId="53F4C72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p>
        </w:tc>
      </w:tr>
      <w:tr w14:paraId="3872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79" w:type="dxa"/>
            <w:vAlign w:val="center"/>
          </w:tcPr>
          <w:p w14:paraId="326726BA">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总计</w:t>
            </w:r>
          </w:p>
          <w:p w14:paraId="08AAE11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p>
        </w:tc>
        <w:tc>
          <w:tcPr>
            <w:tcW w:w="937" w:type="dxa"/>
            <w:gridSpan w:val="4"/>
            <w:vAlign w:val="center"/>
          </w:tcPr>
          <w:p w14:paraId="740D40D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元（大写：</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，固定总价），</w:t>
            </w:r>
          </w:p>
          <w:p w14:paraId="4D2D1DB1">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（其中不含税总价</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 ，税金总额</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w:t>
            </w:r>
          </w:p>
        </w:tc>
      </w:tr>
    </w:tbl>
    <w:p w14:paraId="5613A7E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7.3 价款调整</w:t>
      </w:r>
    </w:p>
    <w:p w14:paraId="65C6E15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调整的原则为：服务内容的工作量（以7.2表中工作量为基础）增减在±5%以内时，不做调整；服务内容的工作量增减超出±5%时，经发包人确认后只调整超出部分。</w:t>
      </w:r>
    </w:p>
    <w:p w14:paraId="0DEB17A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调整的方法为：超出部分工作量×单价。</w:t>
      </w:r>
    </w:p>
    <w:p w14:paraId="7193EE27">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第八条 支付方式：</w:t>
      </w:r>
    </w:p>
    <w:p w14:paraId="202B327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8.1 按进度节点支付服务费用：</w:t>
      </w:r>
    </w:p>
    <w:p w14:paraId="57CF5B3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建设项目所有深基坑监测服务完成并出具监测报告后，支付合同金额的20%;项目完工，提交施工期间完整沉降观测报告后，支付合同金额的30%；进入运营期一年并提交年度沉降观测报告后，支付合同金额的30%；进入运营期二年后且建筑物沉降稳定达到终止观测规范要求，提交全套竣工总结资料，双方办理结算手续，一次性支付结算后的剩余款项。每次支付前，承包人按照核算确认后的金额提供6%合规增值税专用发票。</w:t>
      </w:r>
    </w:p>
    <w:p w14:paraId="7A4DAB4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8.2 发包人收到节点进度付款申请、成果资料及发票后</w:t>
      </w:r>
      <w:r>
        <w:rPr>
          <w:rFonts w:hint="eastAsia" w:ascii="方正仿宋_GB2312" w:hAnsi="方正仿宋_GB2312" w:eastAsia="方正仿宋_GB2312" w:cs="方正仿宋_GB2312"/>
          <w:kern w:val="2"/>
          <w:sz w:val="32"/>
          <w:szCs w:val="32"/>
          <w:u w:val="single"/>
          <w:lang w:val="en-US" w:eastAsia="zh-CN" w:bidi="ar-SA"/>
        </w:rPr>
        <w:t xml:space="preserve"> 15 </w:t>
      </w:r>
      <w:r>
        <w:rPr>
          <w:rFonts w:hint="eastAsia" w:ascii="方正仿宋_GB2312" w:hAnsi="方正仿宋_GB2312" w:eastAsia="方正仿宋_GB2312" w:cs="方正仿宋_GB2312"/>
          <w:kern w:val="2"/>
          <w:sz w:val="32"/>
          <w:szCs w:val="32"/>
          <w:lang w:val="en-US" w:eastAsia="zh-CN" w:bidi="ar-SA"/>
        </w:rPr>
        <w:t>个工作日内完成审核，并足额支付当期进度服务费用。</w:t>
      </w:r>
    </w:p>
    <w:p w14:paraId="4659328F">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第九条 双方责任</w:t>
      </w:r>
    </w:p>
    <w:p w14:paraId="6A9C8A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9.1发包人责任</w:t>
      </w:r>
    </w:p>
    <w:p w14:paraId="32E119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9.1.1 按第五条约定时限交付资料，不得强行要求承包人违反规范标准开展监测。</w:t>
      </w:r>
    </w:p>
    <w:p w14:paraId="13FA7C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9.1.2 发包人应按合同及时按期支付服务费用，每逾期一天，应向承包人偿付以未支付服务费为基数，按照LPR计算逾期违约金。</w:t>
      </w:r>
    </w:p>
    <w:p w14:paraId="7097BA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9.1.3 合同期内发包人单方面终止服务，按监测实际履约工作量据实结算费用。</w:t>
      </w:r>
    </w:p>
    <w:p w14:paraId="749DE9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9.1.4 协调现场施工单位做好监测测点保护，人为损毁测点产生补测费用由发包人承担。</w:t>
      </w:r>
    </w:p>
    <w:p w14:paraId="74997B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9.2承包人责任</w:t>
      </w:r>
    </w:p>
    <w:p w14:paraId="539ADCC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9.2.1 严格按照国家规范、合同约定开展监测，对监测数据、报告的真实性、准确性负责。由于承包人原因造成测量成果质量低劣，不能满足国家现行有关规范和委托技术要求时，承包人无条件无偿整改，给发包人造成损失的，应当赔偿损失；因承包人工作失误、监测不到位、未及时预警造成工程隐患、安全事故及经济损失的，承包人承担相应赔偿责任及相关法律责任。</w:t>
      </w:r>
    </w:p>
    <w:p w14:paraId="4FBC1F7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9.2.2 因承包人自身原因逾期提交季度监（观）测成果报告，每延误一天，减收应付服务费500元/天；延误超过【30】天，发包人有权单方解除合同。</w:t>
      </w:r>
    </w:p>
    <w:p w14:paraId="7481314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9.2.3 因监测点位布设不合理造成测点失效，由承包人自费重新布设。</w:t>
      </w:r>
    </w:p>
    <w:p w14:paraId="794E2F3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9.2.4 监测服务至基坑回填完成、建筑物沉降观测稳定达标为止；本项目全部监测数据、成果报告知识产权归发包人所有。</w:t>
      </w:r>
    </w:p>
    <w:p w14:paraId="66A9F92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9.2.5 在合同履行期间，如需发包人配合，应事先通知发包人，避免影响工作正常进行。承包人进入施工现场人员应服从发包人现场文明施工的规定，如出现安全事故和刑事案件，责任由承包人负责。</w:t>
      </w:r>
    </w:p>
    <w:p w14:paraId="58F8EE07">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第十条 保密</w:t>
      </w:r>
    </w:p>
    <w:p w14:paraId="29F69A8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双方均需保守对方项目资料、监测数据等涉密信息，未经对方书面同意，不得擅自复制、转借、用于本项目以外工程，泄密方承担全部赔偿责任；如发生以上情况，泄密方承担一切由此引起的后果并承担赔偿责任。双方应承担保密义务，期限自合同生效之日起至保密信息进入公有领域止。</w:t>
      </w:r>
    </w:p>
    <w:p w14:paraId="47A43FD1">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第十一条 纠纷的解决办法</w:t>
      </w:r>
    </w:p>
    <w:p w14:paraId="2B4F76ED">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11.1双方协商解决。</w:t>
      </w:r>
    </w:p>
    <w:p w14:paraId="2BF1B9C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11.2若协商解决不成时，向工程所在地有管辖权的人民法院提起诉讼。</w:t>
      </w:r>
    </w:p>
    <w:p w14:paraId="79B01CED">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第十二条 合同生效及其他</w:t>
      </w:r>
    </w:p>
    <w:p w14:paraId="3F34873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12.1</w:t>
      </w:r>
      <w:r>
        <w:rPr>
          <w:rFonts w:hint="eastAsia" w:ascii="方正仿宋_GB2312" w:hAnsi="方正仿宋_GB2312" w:eastAsia="方正仿宋_GB2312" w:cs="方正仿宋_GB2312"/>
          <w:color w:val="000000"/>
          <w:kern w:val="2"/>
          <w:sz w:val="32"/>
          <w:szCs w:val="32"/>
          <w:lang w:val="en-US" w:eastAsia="zh-CN" w:bidi="ar-SA"/>
        </w:rPr>
        <w:t>发包人委托承包人承担本合同内容以外的工作服务，另行签订协议并支付费用。</w:t>
      </w:r>
    </w:p>
    <w:p w14:paraId="68353A2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12.2由于不可抗力因素致使合同无法履行时，双方应及时协商解决。</w:t>
      </w:r>
    </w:p>
    <w:p w14:paraId="326B510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12.3本合同双方签字并盖章即生效，一式</w:t>
      </w:r>
      <w:r>
        <w:rPr>
          <w:rFonts w:hint="eastAsia" w:ascii="方正仿宋_GB2312" w:hAnsi="方正仿宋_GB2312" w:eastAsia="方正仿宋_GB2312" w:cs="方正仿宋_GB2312"/>
          <w:kern w:val="2"/>
          <w:sz w:val="32"/>
          <w:szCs w:val="32"/>
          <w:u w:val="single"/>
          <w:lang w:val="en-US" w:eastAsia="zh-CN" w:bidi="ar-SA"/>
        </w:rPr>
        <w:t xml:space="preserve"> 拾 </w:t>
      </w:r>
      <w:r>
        <w:rPr>
          <w:rFonts w:hint="eastAsia" w:ascii="方正仿宋_GB2312" w:hAnsi="方正仿宋_GB2312" w:eastAsia="方正仿宋_GB2312" w:cs="方正仿宋_GB2312"/>
          <w:kern w:val="2"/>
          <w:sz w:val="32"/>
          <w:szCs w:val="32"/>
          <w:lang w:val="en-US" w:eastAsia="zh-CN" w:bidi="ar-SA"/>
        </w:rPr>
        <w:t>份，发包人</w:t>
      </w:r>
      <w:r>
        <w:rPr>
          <w:rFonts w:hint="eastAsia" w:ascii="方正仿宋_GB2312" w:hAnsi="方正仿宋_GB2312" w:eastAsia="方正仿宋_GB2312" w:cs="方正仿宋_GB2312"/>
          <w:kern w:val="2"/>
          <w:sz w:val="32"/>
          <w:szCs w:val="32"/>
          <w:u w:val="single"/>
          <w:lang w:val="en-US" w:eastAsia="zh-CN" w:bidi="ar-SA"/>
        </w:rPr>
        <w:t xml:space="preserve"> 柒 </w:t>
      </w:r>
      <w:r>
        <w:rPr>
          <w:rFonts w:hint="eastAsia" w:ascii="方正仿宋_GB2312" w:hAnsi="方正仿宋_GB2312" w:eastAsia="方正仿宋_GB2312" w:cs="方正仿宋_GB2312"/>
          <w:kern w:val="2"/>
          <w:sz w:val="32"/>
          <w:szCs w:val="32"/>
          <w:lang w:val="en-US" w:eastAsia="zh-CN" w:bidi="ar-SA"/>
        </w:rPr>
        <w:t>份，承包人</w:t>
      </w:r>
      <w:r>
        <w:rPr>
          <w:rFonts w:hint="eastAsia" w:ascii="方正仿宋_GB2312" w:hAnsi="方正仿宋_GB2312" w:eastAsia="方正仿宋_GB2312" w:cs="方正仿宋_GB2312"/>
          <w:kern w:val="2"/>
          <w:sz w:val="32"/>
          <w:szCs w:val="32"/>
          <w:u w:val="single"/>
          <w:lang w:val="en-US" w:eastAsia="zh-CN" w:bidi="ar-SA"/>
        </w:rPr>
        <w:t xml:space="preserve"> 叁 </w:t>
      </w:r>
      <w:r>
        <w:rPr>
          <w:rFonts w:hint="eastAsia" w:ascii="方正仿宋_GB2312" w:hAnsi="方正仿宋_GB2312" w:eastAsia="方正仿宋_GB2312" w:cs="方正仿宋_GB2312"/>
          <w:kern w:val="2"/>
          <w:sz w:val="32"/>
          <w:szCs w:val="32"/>
          <w:lang w:val="en-US" w:eastAsia="zh-CN" w:bidi="ar-SA"/>
        </w:rPr>
        <w:t>份。</w:t>
      </w:r>
    </w:p>
    <w:p w14:paraId="6F195D1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12.4双方履行完合同规定的义务后，本合同即行终止。</w:t>
      </w:r>
    </w:p>
    <w:p w14:paraId="4047B2E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12.5双方认可的来往传真、电报、会议纪要等，均为合同的组成部分，与本合同具有同等法律效力。</w:t>
      </w:r>
    </w:p>
    <w:p w14:paraId="0E24752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12.6未尽事宜，经双方协商一致，签订补充协议，补充协议与本合同具有同等效力。</w:t>
      </w:r>
    </w:p>
    <w:tbl>
      <w:tblPr>
        <w:tblStyle w:val="7"/>
        <w:tblpPr w:leftFromText="180" w:rightFromText="180" w:vertAnchor="text" w:horzAnchor="page" w:tblpX="1766" w:tblpY="361"/>
        <w:tblOverlap w:val="never"/>
        <w:tblW w:w="8985" w:type="dxa"/>
        <w:tblInd w:w="0" w:type="dxa"/>
        <w:tblLayout w:type="fixed"/>
        <w:tblCellMar>
          <w:top w:w="0" w:type="dxa"/>
          <w:left w:w="108" w:type="dxa"/>
          <w:bottom w:w="0" w:type="dxa"/>
          <w:right w:w="108" w:type="dxa"/>
        </w:tblCellMar>
      </w:tblPr>
      <w:tblGrid>
        <w:gridCol w:w="4275"/>
        <w:gridCol w:w="256"/>
        <w:gridCol w:w="4454"/>
      </w:tblGrid>
      <w:tr w14:paraId="5C4A3D02">
        <w:tblPrEx>
          <w:tblCellMar>
            <w:top w:w="0" w:type="dxa"/>
            <w:left w:w="108" w:type="dxa"/>
            <w:bottom w:w="0" w:type="dxa"/>
            <w:right w:w="108" w:type="dxa"/>
          </w:tblCellMar>
        </w:tblPrEx>
        <w:trPr>
          <w:trHeight w:val="680" w:hRule="atLeast"/>
        </w:trPr>
        <w:tc>
          <w:tcPr>
            <w:tcW w:w="4275" w:type="dxa"/>
            <w:noWrap w:val="0"/>
            <w:vAlign w:val="top"/>
          </w:tcPr>
          <w:p w14:paraId="0240C357">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p>
          <w:p w14:paraId="22BBC110">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发包人：（印章）  </w:t>
            </w:r>
          </w:p>
        </w:tc>
        <w:tc>
          <w:tcPr>
            <w:tcW w:w="256" w:type="dxa"/>
            <w:noWrap w:val="0"/>
            <w:vAlign w:val="top"/>
          </w:tcPr>
          <w:p w14:paraId="4230BFE6">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top"/>
          </w:tcPr>
          <w:p w14:paraId="76E753DF">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p>
          <w:p w14:paraId="0DD65BEF">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承包人：（印章）</w:t>
            </w:r>
            <w:r>
              <w:rPr>
                <w:rFonts w:hint="eastAsia" w:ascii="方正仿宋_GB2312" w:hAnsi="方正仿宋_GB2312" w:eastAsia="方正仿宋_GB2312" w:cs="方正仿宋_GB2312"/>
                <w:color w:val="000000"/>
                <w:kern w:val="2"/>
                <w:sz w:val="32"/>
                <w:szCs w:val="32"/>
                <w:lang w:val="en-US" w:eastAsia="zh-CN" w:bidi="ar-SA"/>
              </w:rPr>
              <w:tab/>
            </w:r>
            <w:r>
              <w:rPr>
                <w:rFonts w:hint="eastAsia" w:ascii="方正仿宋_GB2312" w:hAnsi="方正仿宋_GB2312" w:eastAsia="方正仿宋_GB2312" w:cs="方正仿宋_GB2312"/>
                <w:color w:val="000000"/>
                <w:kern w:val="2"/>
                <w:sz w:val="32"/>
                <w:szCs w:val="32"/>
                <w:lang w:val="en-US" w:eastAsia="zh-CN" w:bidi="ar-SA"/>
              </w:rPr>
              <w:t xml:space="preserve"> </w:t>
            </w:r>
          </w:p>
        </w:tc>
      </w:tr>
      <w:tr w14:paraId="2D172F38">
        <w:tblPrEx>
          <w:tblCellMar>
            <w:top w:w="0" w:type="dxa"/>
            <w:left w:w="108" w:type="dxa"/>
            <w:bottom w:w="0" w:type="dxa"/>
            <w:right w:w="108" w:type="dxa"/>
          </w:tblCellMar>
        </w:tblPrEx>
        <w:trPr>
          <w:trHeight w:val="680" w:hRule="atLeast"/>
        </w:trPr>
        <w:tc>
          <w:tcPr>
            <w:tcW w:w="4275" w:type="dxa"/>
            <w:noWrap w:val="0"/>
            <w:vAlign w:val="top"/>
          </w:tcPr>
          <w:p w14:paraId="0AEB6737">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256" w:type="dxa"/>
            <w:noWrap w:val="0"/>
            <w:vAlign w:val="top"/>
          </w:tcPr>
          <w:p w14:paraId="36C819D0">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top"/>
          </w:tcPr>
          <w:p w14:paraId="67788228">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r>
      <w:tr w14:paraId="2A026017">
        <w:tblPrEx>
          <w:tblCellMar>
            <w:top w:w="0" w:type="dxa"/>
            <w:left w:w="108" w:type="dxa"/>
            <w:bottom w:w="0" w:type="dxa"/>
            <w:right w:w="108" w:type="dxa"/>
          </w:tblCellMar>
        </w:tblPrEx>
        <w:trPr>
          <w:trHeight w:val="680" w:hRule="atLeast"/>
        </w:trPr>
        <w:tc>
          <w:tcPr>
            <w:tcW w:w="4275" w:type="dxa"/>
            <w:noWrap w:val="0"/>
            <w:vAlign w:val="center"/>
          </w:tcPr>
          <w:p w14:paraId="6C0C42E2">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法定代表人或其委托代理人：</w:t>
            </w:r>
          </w:p>
        </w:tc>
        <w:tc>
          <w:tcPr>
            <w:tcW w:w="256" w:type="dxa"/>
            <w:noWrap w:val="0"/>
            <w:vAlign w:val="center"/>
          </w:tcPr>
          <w:p w14:paraId="76145B65">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center"/>
          </w:tcPr>
          <w:p w14:paraId="096BB158">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法定代表人或其委托代理人：</w:t>
            </w:r>
          </w:p>
        </w:tc>
      </w:tr>
      <w:tr w14:paraId="33FCD912">
        <w:tblPrEx>
          <w:tblCellMar>
            <w:top w:w="0" w:type="dxa"/>
            <w:left w:w="108" w:type="dxa"/>
            <w:bottom w:w="0" w:type="dxa"/>
            <w:right w:w="108" w:type="dxa"/>
          </w:tblCellMar>
        </w:tblPrEx>
        <w:trPr>
          <w:trHeight w:val="680" w:hRule="atLeast"/>
        </w:trPr>
        <w:tc>
          <w:tcPr>
            <w:tcW w:w="4275" w:type="dxa"/>
            <w:noWrap w:val="0"/>
            <w:vAlign w:val="center"/>
          </w:tcPr>
          <w:p w14:paraId="69E4EB26">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（签字）</w:t>
            </w:r>
          </w:p>
        </w:tc>
        <w:tc>
          <w:tcPr>
            <w:tcW w:w="256" w:type="dxa"/>
            <w:noWrap w:val="0"/>
            <w:vAlign w:val="center"/>
          </w:tcPr>
          <w:p w14:paraId="5E4AF8AF">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center"/>
          </w:tcPr>
          <w:p w14:paraId="28021005">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（签字）</w:t>
            </w:r>
          </w:p>
        </w:tc>
      </w:tr>
      <w:tr w14:paraId="1C28F1C2">
        <w:tblPrEx>
          <w:tblCellMar>
            <w:top w:w="0" w:type="dxa"/>
            <w:left w:w="108" w:type="dxa"/>
            <w:bottom w:w="0" w:type="dxa"/>
            <w:right w:w="108" w:type="dxa"/>
          </w:tblCellMar>
        </w:tblPrEx>
        <w:trPr>
          <w:trHeight w:val="680" w:hRule="atLeast"/>
        </w:trPr>
        <w:tc>
          <w:tcPr>
            <w:tcW w:w="4275" w:type="dxa"/>
            <w:noWrap w:val="0"/>
            <w:vAlign w:val="top"/>
          </w:tcPr>
          <w:p w14:paraId="2912CCDB">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地  址：      </w:t>
            </w:r>
          </w:p>
        </w:tc>
        <w:tc>
          <w:tcPr>
            <w:tcW w:w="256" w:type="dxa"/>
            <w:noWrap w:val="0"/>
            <w:vAlign w:val="center"/>
          </w:tcPr>
          <w:p w14:paraId="6A8AA9C1">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top"/>
          </w:tcPr>
          <w:p w14:paraId="0F888F52">
            <w:pPr>
              <w:keepNext w:val="0"/>
              <w:keepLines w:val="0"/>
              <w:pageBreakBefore w:val="0"/>
              <w:widowControl w:val="0"/>
              <w:tabs>
                <w:tab w:val="left" w:pos="4687"/>
              </w:tabs>
              <w:kinsoku/>
              <w:wordWrap/>
              <w:overflowPunct/>
              <w:topLinePunct w:val="0"/>
              <w:autoSpaceDE/>
              <w:autoSpaceDN/>
              <w:bidi w:val="0"/>
              <w:spacing w:before="25" w:line="500" w:lineRule="exact"/>
              <w:ind w:left="320" w:leftChars="0" w:hanging="320" w:hangingChars="10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地  址：                                                          </w:t>
            </w:r>
          </w:p>
        </w:tc>
      </w:tr>
      <w:tr w14:paraId="1877240D">
        <w:tblPrEx>
          <w:tblCellMar>
            <w:top w:w="0" w:type="dxa"/>
            <w:left w:w="108" w:type="dxa"/>
            <w:bottom w:w="0" w:type="dxa"/>
            <w:right w:w="108" w:type="dxa"/>
          </w:tblCellMar>
        </w:tblPrEx>
        <w:trPr>
          <w:trHeight w:val="680" w:hRule="atLeast"/>
        </w:trPr>
        <w:tc>
          <w:tcPr>
            <w:tcW w:w="4275" w:type="dxa"/>
            <w:noWrap w:val="0"/>
            <w:vAlign w:val="center"/>
          </w:tcPr>
          <w:p w14:paraId="5ABAE6F6">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邮政编码：                     </w:t>
            </w:r>
          </w:p>
        </w:tc>
        <w:tc>
          <w:tcPr>
            <w:tcW w:w="256" w:type="dxa"/>
            <w:noWrap w:val="0"/>
            <w:vAlign w:val="center"/>
          </w:tcPr>
          <w:p w14:paraId="5AB14FCE">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center"/>
          </w:tcPr>
          <w:p w14:paraId="16748A33">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邮政编码：                                      </w:t>
            </w:r>
          </w:p>
        </w:tc>
      </w:tr>
      <w:tr w14:paraId="653C564E">
        <w:tblPrEx>
          <w:tblCellMar>
            <w:top w:w="0" w:type="dxa"/>
            <w:left w:w="108" w:type="dxa"/>
            <w:bottom w:w="0" w:type="dxa"/>
            <w:right w:w="108" w:type="dxa"/>
          </w:tblCellMar>
        </w:tblPrEx>
        <w:trPr>
          <w:trHeight w:val="680" w:hRule="atLeast"/>
        </w:trPr>
        <w:tc>
          <w:tcPr>
            <w:tcW w:w="4275" w:type="dxa"/>
            <w:noWrap w:val="0"/>
            <w:vAlign w:val="top"/>
          </w:tcPr>
          <w:p w14:paraId="0964F99D">
            <w:pPr>
              <w:keepNext w:val="0"/>
              <w:keepLines w:val="0"/>
              <w:pageBreakBefore w:val="0"/>
              <w:widowControl w:val="0"/>
              <w:tabs>
                <w:tab w:val="left" w:pos="4687"/>
              </w:tabs>
              <w:kinsoku/>
              <w:wordWrap/>
              <w:overflowPunct/>
              <w:topLinePunct w:val="0"/>
              <w:autoSpaceDE/>
              <w:autoSpaceDN/>
              <w:bidi w:val="0"/>
              <w:spacing w:before="25" w:line="500" w:lineRule="exact"/>
              <w:ind w:left="320" w:leftChars="0" w:hanging="320" w:hangingChars="10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开户银行：              </w:t>
            </w:r>
          </w:p>
        </w:tc>
        <w:tc>
          <w:tcPr>
            <w:tcW w:w="256" w:type="dxa"/>
            <w:noWrap w:val="0"/>
            <w:vAlign w:val="center"/>
          </w:tcPr>
          <w:p w14:paraId="58A82AD8">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top"/>
          </w:tcPr>
          <w:p w14:paraId="1AA6E2F3">
            <w:pPr>
              <w:keepNext w:val="0"/>
              <w:keepLines w:val="0"/>
              <w:pageBreakBefore w:val="0"/>
              <w:widowControl w:val="0"/>
              <w:tabs>
                <w:tab w:val="left" w:pos="4687"/>
              </w:tabs>
              <w:kinsoku/>
              <w:wordWrap/>
              <w:overflowPunct/>
              <w:topLinePunct w:val="0"/>
              <w:autoSpaceDE/>
              <w:autoSpaceDN/>
              <w:bidi w:val="0"/>
              <w:spacing w:before="25" w:line="500" w:lineRule="exact"/>
              <w:ind w:left="320" w:leftChars="0" w:hanging="320" w:hangingChars="10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开户银行：</w:t>
            </w:r>
          </w:p>
        </w:tc>
      </w:tr>
      <w:tr w14:paraId="31437CC3">
        <w:tblPrEx>
          <w:tblCellMar>
            <w:top w:w="0" w:type="dxa"/>
            <w:left w:w="108" w:type="dxa"/>
            <w:bottom w:w="0" w:type="dxa"/>
            <w:right w:w="108" w:type="dxa"/>
          </w:tblCellMar>
        </w:tblPrEx>
        <w:trPr>
          <w:trHeight w:val="680" w:hRule="atLeast"/>
        </w:trPr>
        <w:tc>
          <w:tcPr>
            <w:tcW w:w="4275" w:type="dxa"/>
            <w:noWrap w:val="0"/>
            <w:vAlign w:val="center"/>
          </w:tcPr>
          <w:p w14:paraId="0D23145B">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银行账号：            </w:t>
            </w:r>
          </w:p>
        </w:tc>
        <w:tc>
          <w:tcPr>
            <w:tcW w:w="256" w:type="dxa"/>
            <w:noWrap w:val="0"/>
            <w:vAlign w:val="center"/>
          </w:tcPr>
          <w:p w14:paraId="5FEABC11">
            <w:pPr>
              <w:keepNext w:val="0"/>
              <w:keepLines w:val="0"/>
              <w:pageBreakBefore w:val="0"/>
              <w:widowControl w:val="0"/>
              <w:tabs>
                <w:tab w:val="left" w:pos="4687"/>
              </w:tabs>
              <w:kinsoku/>
              <w:wordWrap/>
              <w:overflowPunct/>
              <w:topLinePunct w:val="0"/>
              <w:autoSpaceDE/>
              <w:autoSpaceDN/>
              <w:bidi w:val="0"/>
              <w:spacing w:before="25" w:line="500" w:lineRule="exact"/>
              <w:ind w:left="447"/>
              <w:jc w:val="both"/>
              <w:textAlignment w:val="auto"/>
              <w:rPr>
                <w:rFonts w:hint="eastAsia" w:ascii="方正仿宋_GB2312" w:hAnsi="方正仿宋_GB2312" w:eastAsia="方正仿宋_GB2312" w:cs="方正仿宋_GB2312"/>
                <w:color w:val="000000"/>
                <w:kern w:val="2"/>
                <w:sz w:val="32"/>
                <w:szCs w:val="32"/>
                <w:lang w:val="en-US" w:eastAsia="zh-CN" w:bidi="ar-SA"/>
              </w:rPr>
            </w:pPr>
          </w:p>
        </w:tc>
        <w:tc>
          <w:tcPr>
            <w:tcW w:w="4454" w:type="dxa"/>
            <w:noWrap w:val="0"/>
            <w:vAlign w:val="center"/>
          </w:tcPr>
          <w:p w14:paraId="035DADD1">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 xml:space="preserve">银行账号：                                           </w:t>
            </w:r>
          </w:p>
        </w:tc>
      </w:tr>
      <w:tr w14:paraId="1950D8D2">
        <w:tblPrEx>
          <w:tblCellMar>
            <w:top w:w="0" w:type="dxa"/>
            <w:left w:w="108" w:type="dxa"/>
            <w:bottom w:w="0" w:type="dxa"/>
            <w:right w:w="108" w:type="dxa"/>
          </w:tblCellMar>
        </w:tblPrEx>
        <w:trPr>
          <w:cantSplit/>
          <w:trHeight w:val="680" w:hRule="atLeast"/>
        </w:trPr>
        <w:tc>
          <w:tcPr>
            <w:tcW w:w="4531" w:type="dxa"/>
            <w:gridSpan w:val="2"/>
            <w:noWrap w:val="0"/>
            <w:vAlign w:val="center"/>
          </w:tcPr>
          <w:p w14:paraId="3C83B803">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日期：     年     月      日</w:t>
            </w:r>
          </w:p>
        </w:tc>
        <w:tc>
          <w:tcPr>
            <w:tcW w:w="4454" w:type="dxa"/>
            <w:noWrap w:val="0"/>
            <w:vAlign w:val="center"/>
          </w:tcPr>
          <w:p w14:paraId="149EC185">
            <w:pPr>
              <w:keepNext w:val="0"/>
              <w:keepLines w:val="0"/>
              <w:pageBreakBefore w:val="0"/>
              <w:widowControl w:val="0"/>
              <w:tabs>
                <w:tab w:val="left" w:pos="4687"/>
              </w:tabs>
              <w:kinsoku/>
              <w:wordWrap/>
              <w:overflowPunct/>
              <w:topLinePunct w:val="0"/>
              <w:autoSpaceDE/>
              <w:autoSpaceDN/>
              <w:bidi w:val="0"/>
              <w:spacing w:before="25" w:line="500" w:lineRule="exact"/>
              <w:ind w:left="0" w:leftChars="0" w:firstLine="0" w:firstLineChars="0"/>
              <w:jc w:val="both"/>
              <w:textAlignment w:val="auto"/>
              <w:rPr>
                <w:rFonts w:hint="eastAsia" w:ascii="方正仿宋_GB2312" w:hAnsi="方正仿宋_GB2312" w:eastAsia="方正仿宋_GB2312" w:cs="方正仿宋_GB2312"/>
                <w:color w:val="000000"/>
                <w:kern w:val="2"/>
                <w:sz w:val="32"/>
                <w:szCs w:val="32"/>
                <w:lang w:val="en-US" w:eastAsia="zh-CN" w:bidi="ar-SA"/>
              </w:rPr>
            </w:pPr>
            <w:r>
              <w:rPr>
                <w:rFonts w:hint="eastAsia" w:ascii="方正仿宋_GB2312" w:hAnsi="方正仿宋_GB2312" w:eastAsia="方正仿宋_GB2312" w:cs="方正仿宋_GB2312"/>
                <w:color w:val="000000"/>
                <w:kern w:val="2"/>
                <w:sz w:val="32"/>
                <w:szCs w:val="32"/>
                <w:lang w:val="en-US" w:eastAsia="zh-CN" w:bidi="ar-SA"/>
              </w:rPr>
              <w:t>日期：     年     月      日</w:t>
            </w:r>
          </w:p>
        </w:tc>
      </w:tr>
    </w:tbl>
    <w:p w14:paraId="1982B9EC">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w:t>
      </w:r>
    </w:p>
    <w:p w14:paraId="27DC3721">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000000"/>
          <w:kern w:val="2"/>
          <w:sz w:val="32"/>
          <w:szCs w:val="32"/>
          <w:lang w:val="en-US" w:eastAsia="zh-CN" w:bidi="ar-SA"/>
        </w:rPr>
      </w:pPr>
    </w:p>
    <w:p w14:paraId="49B8B7F3">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382A09AC">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65049763">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7929C3DD">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78655C65">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30F793F3">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2896C164">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第五章 服务技术规范要求</w:t>
      </w:r>
      <w:bookmarkEnd w:id="24"/>
    </w:p>
    <w:p w14:paraId="5E84D58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25" w:name="heading_37"/>
      <w:r>
        <w:rPr>
          <w:rFonts w:hint="eastAsia" w:ascii="方正仿宋_GB2312" w:hAnsi="方正仿宋_GB2312" w:eastAsia="方正仿宋_GB2312" w:cs="方正仿宋_GB2312"/>
          <w:b/>
          <w:sz w:val="32"/>
          <w:szCs w:val="32"/>
        </w:rPr>
        <w:t>1 编制依据</w:t>
      </w:r>
      <w:bookmarkEnd w:id="25"/>
    </w:p>
    <w:p w14:paraId="52995EC1">
      <w:pPr>
        <w:keepNext w:val="0"/>
        <w:keepLines w:val="0"/>
        <w:pageBreakBefore w:val="0"/>
        <w:widowControl w:val="0"/>
        <w:kinsoku/>
        <w:wordWrap/>
        <w:overflowPunct/>
        <w:topLinePunct w:val="0"/>
        <w:autoSpaceDE/>
        <w:autoSpaceDN/>
        <w:bidi w:val="0"/>
        <w:spacing w:before="120" w:after="120" w:line="50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（1）《建筑基坑工程监测技术标准》GB50497-2019</w:t>
      </w:r>
    </w:p>
    <w:p w14:paraId="69ECFE5C">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（2）《建筑变形测量规范》JGJ8-2016</w:t>
      </w:r>
    </w:p>
    <w:p w14:paraId="4CB6E540">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（3）《工程测量规范》GB50026-2020</w:t>
      </w:r>
    </w:p>
    <w:p w14:paraId="05DF3CB0">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（4）项目地质勘察报告、基坑支护</w:t>
      </w:r>
      <w:r>
        <w:rPr>
          <w:rFonts w:hint="eastAsia" w:ascii="方正仿宋_GB2312" w:hAnsi="方正仿宋_GB2312" w:eastAsia="方正仿宋_GB2312" w:cs="方正仿宋_GB2312"/>
          <w:sz w:val="32"/>
          <w:szCs w:val="32"/>
          <w:lang w:val="en-US" w:eastAsia="zh-CN"/>
        </w:rPr>
        <w:t>方案</w:t>
      </w:r>
      <w:r>
        <w:rPr>
          <w:rFonts w:hint="eastAsia" w:ascii="方正仿宋_GB2312" w:hAnsi="方正仿宋_GB2312" w:eastAsia="方正仿宋_GB2312" w:cs="方正仿宋_GB2312"/>
          <w:sz w:val="32"/>
          <w:szCs w:val="32"/>
        </w:rPr>
        <w:t>及施工</w:t>
      </w:r>
      <w:r>
        <w:rPr>
          <w:rFonts w:hint="eastAsia" w:ascii="方正仿宋_GB2312" w:hAnsi="方正仿宋_GB2312" w:eastAsia="方正仿宋_GB2312" w:cs="方正仿宋_GB2312"/>
          <w:sz w:val="32"/>
          <w:szCs w:val="32"/>
          <w:lang w:val="en-US" w:eastAsia="zh-CN"/>
        </w:rPr>
        <w:t>图</w:t>
      </w:r>
      <w:r>
        <w:rPr>
          <w:rFonts w:hint="eastAsia" w:ascii="方正仿宋_GB2312" w:hAnsi="方正仿宋_GB2312" w:eastAsia="方正仿宋_GB2312" w:cs="方正仿宋_GB2312"/>
          <w:sz w:val="32"/>
          <w:szCs w:val="32"/>
        </w:rPr>
        <w:t>设计</w:t>
      </w:r>
      <w:r>
        <w:rPr>
          <w:rFonts w:hint="eastAsia" w:ascii="方正仿宋_GB2312" w:hAnsi="方正仿宋_GB2312" w:eastAsia="方正仿宋_GB2312" w:cs="方正仿宋_GB2312"/>
          <w:sz w:val="32"/>
          <w:szCs w:val="32"/>
          <w:lang w:val="en-US" w:eastAsia="zh-CN"/>
        </w:rPr>
        <w:t>文件。</w:t>
      </w:r>
    </w:p>
    <w:p w14:paraId="2D2BB9DE">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26" w:name="heading_38"/>
      <w:r>
        <w:rPr>
          <w:rFonts w:hint="eastAsia" w:ascii="方正仿宋_GB2312" w:hAnsi="方正仿宋_GB2312" w:eastAsia="方正仿宋_GB2312" w:cs="方正仿宋_GB2312"/>
          <w:b/>
          <w:sz w:val="32"/>
          <w:szCs w:val="32"/>
        </w:rPr>
        <w:t>2 深基坑监测要求</w:t>
      </w:r>
      <w:bookmarkEnd w:id="26"/>
    </w:p>
    <w:p w14:paraId="051C7883">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bookmarkStart w:id="27" w:name="heading_39"/>
      <w:r>
        <w:rPr>
          <w:rFonts w:hint="eastAsia" w:ascii="方正仿宋_GB2312" w:hAnsi="方正仿宋_GB2312" w:eastAsia="方正仿宋_GB2312" w:cs="方正仿宋_GB2312"/>
          <w:sz w:val="32"/>
          <w:szCs w:val="32"/>
        </w:rPr>
        <w:t>本工程涉及深基坑的开挖，应监测开挖过程中的支护结构、基坑底部以及基坑开挖可能影响的周围土体、周围建（构）筑物</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的形变。</w:t>
      </w:r>
    </w:p>
    <w:p w14:paraId="29E58BBB">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投标人的职责包括但不限于以下几个方面：</w:t>
      </w:r>
    </w:p>
    <w:p w14:paraId="7A5BCC70">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（1）根据设计要求编制和深化基坑工程监测方案，绘制监测布点图，监测布点图应结合现场实际情况，且报审业主、监理方可实施。</w:t>
      </w:r>
    </w:p>
    <w:p w14:paraId="7A6A6F60">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（2）完成基坑周边环境和土体监测的监测点布设，点位应满足规范要求</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进行水平和垂直位移监测。</w:t>
      </w:r>
    </w:p>
    <w:p w14:paraId="5C6E298B">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（3）基坑开挖阶段每日监测1次；开挖成型稳定后每三日监测1次；遇降雨、荷载变化、数据异常等特殊工况，立即加密监测频次。</w:t>
      </w:r>
    </w:p>
    <w:p w14:paraId="0D79CFA5">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（4）监测点埋设后应及时测定初值，并将监测初值提供给各方。</w:t>
      </w:r>
    </w:p>
    <w:p w14:paraId="68A53AB8">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投标人应对每期监测报表中的监测数据进行分析，给出监测数据合理与否的书面分析评价，对于异常数据应给出分析和解释。如监测数据经各方评价为不合格，其未采取有效的补救措施，招标人将扣除不合格监测点的监测费用，并追究投标人责任。</w:t>
      </w:r>
    </w:p>
    <w:p w14:paraId="323DD5E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（6）各监测项目变化速率或累计值达到报警值时，</w:t>
      </w:r>
      <w:r>
        <w:rPr>
          <w:rFonts w:hint="eastAsia" w:ascii="方正仿宋_GB2312" w:hAnsi="方正仿宋_GB2312" w:eastAsia="方正仿宋_GB2312" w:cs="方正仿宋_GB2312"/>
          <w:sz w:val="32"/>
          <w:szCs w:val="32"/>
          <w:lang w:val="en-US" w:eastAsia="zh-CN"/>
        </w:rPr>
        <w:t>立即</w:t>
      </w:r>
      <w:r>
        <w:rPr>
          <w:rFonts w:hint="eastAsia" w:ascii="方正仿宋_GB2312" w:hAnsi="方正仿宋_GB2312" w:eastAsia="方正仿宋_GB2312" w:cs="方正仿宋_GB2312"/>
          <w:sz w:val="32"/>
          <w:szCs w:val="32"/>
        </w:rPr>
        <w:t>向建设单位、监理单位口头上报，说明预警触发情况、当前监测数据及现场初步情况；</w:t>
      </w:r>
      <w:r>
        <w:rPr>
          <w:rFonts w:hint="eastAsia" w:ascii="方正仿宋_GB2312" w:hAnsi="方正仿宋_GB2312" w:eastAsia="方正仿宋_GB2312" w:cs="方正仿宋_GB2312"/>
          <w:sz w:val="32"/>
          <w:szCs w:val="32"/>
          <w:lang w:val="en-US" w:eastAsia="zh-CN"/>
        </w:rPr>
        <w:t>随后</w:t>
      </w:r>
      <w:r>
        <w:rPr>
          <w:rFonts w:hint="eastAsia" w:ascii="方正仿宋_GB2312" w:hAnsi="方正仿宋_GB2312" w:eastAsia="方正仿宋_GB2312" w:cs="方正仿宋_GB2312"/>
          <w:sz w:val="32"/>
          <w:szCs w:val="32"/>
        </w:rPr>
        <w:t>1 小时内完成书面上报如投标人未履行职责，每延期一天发出警示将扣除该基坑监测费用的千分之三，且招标人将追究投标人的失职责任。</w:t>
      </w:r>
    </w:p>
    <w:p w14:paraId="4D094715">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（7）将监测数据与设计允许值相比较，判断前一步施工工艺和施工参数是否符合要求，以确定和调整下一步施工，确保施工安全。</w:t>
      </w:r>
    </w:p>
    <w:p w14:paraId="2687910F">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（8）将现场测量的数据、信息应反映实际变形情况，并反馈提供给相关方（设计、施工、监理等），对施工工艺、参数、设计方案等完善。</w:t>
      </w:r>
    </w:p>
    <w:bookmarkEnd w:id="27"/>
    <w:p w14:paraId="27B54E55">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28" w:name="heading_43"/>
      <w:r>
        <w:rPr>
          <w:rFonts w:hint="eastAsia" w:ascii="方正仿宋_GB2312" w:hAnsi="方正仿宋_GB2312" w:eastAsia="方正仿宋_GB2312" w:cs="方正仿宋_GB2312"/>
          <w:b/>
          <w:sz w:val="32"/>
          <w:szCs w:val="32"/>
        </w:rPr>
        <w:t>3 沉降观测技术要求</w:t>
      </w:r>
      <w:bookmarkEnd w:id="28"/>
    </w:p>
    <w:p w14:paraId="635D2896">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本项目厂区建构筑物沉降观测服务，主要对万基铝业（新疆）有限公司58万吨电解铝建设项目主要建（构）筑物共约</w:t>
      </w:r>
      <w:r>
        <w:rPr>
          <w:rFonts w:hint="eastAsia" w:ascii="方正仿宋_GB2312" w:hAnsi="方正仿宋_GB2312" w:eastAsia="方正仿宋_GB2312" w:cs="方正仿宋_GB2312"/>
          <w:sz w:val="32"/>
          <w:szCs w:val="32"/>
          <w:lang w:val="en-US" w:eastAsia="zh-CN"/>
        </w:rPr>
        <w:t>873</w:t>
      </w:r>
      <w:r>
        <w:rPr>
          <w:rFonts w:hint="eastAsia" w:ascii="方正仿宋_GB2312" w:hAnsi="方正仿宋_GB2312" w:eastAsia="方正仿宋_GB2312" w:cs="方正仿宋_GB2312"/>
          <w:sz w:val="32"/>
          <w:szCs w:val="32"/>
        </w:rPr>
        <w:t>个点沉降监测点位的沉降监测工作。</w:t>
      </w:r>
    </w:p>
    <w:p w14:paraId="0994467A">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1.监测时间和次数：</w:t>
      </w:r>
    </w:p>
    <w:p w14:paraId="10879AB7">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（1）基础出0米观测标志施工安装完成后做首次观测；</w:t>
      </w:r>
    </w:p>
    <w:p w14:paraId="6F71D327">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（2）每施工一层观测一次；工业建筑的观测次数与间隔时间，视地基与荷载增加情况确定，宜按不同的施工阶段分别进行观测。</w:t>
      </w:r>
    </w:p>
    <w:p w14:paraId="72D5EDDD">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（3）如施工期间中途停工时间较长（3个月及以上），在停工和复工前均应进行测量</w:t>
      </w:r>
      <w:r>
        <w:rPr>
          <w:rFonts w:hint="eastAsia" w:ascii="方正仿宋_GB2312" w:hAnsi="方正仿宋_GB2312" w:eastAsia="方正仿宋_GB2312" w:cs="方正仿宋_GB2312"/>
          <w:sz w:val="32"/>
          <w:szCs w:val="32"/>
          <w:lang w:eastAsia="zh-CN"/>
        </w:rPr>
        <w:t>。</w:t>
      </w:r>
    </w:p>
    <w:p w14:paraId="781EB34E">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2.各建（构）筑物完工后的观测</w:t>
      </w:r>
    </w:p>
    <w:p w14:paraId="4B4D840E">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运营阶段，第一年不少于4次，第二年不少于2次，以后每年1次，直至建筑物沉降稳定。</w:t>
      </w:r>
    </w:p>
    <w:p w14:paraId="568CCB33">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3.每周期观测后，应及时对观测资料进行整理，计算观测点的沉降量、沉降差以及本周期平均沉降量和沉降速度，观测工作结束后，应提交下列成果；</w:t>
      </w:r>
    </w:p>
    <w:p w14:paraId="7C25A6AC">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（1）沉降观测成果表；</w:t>
      </w:r>
    </w:p>
    <w:p w14:paraId="4EFCC66C">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（2）沉降观测点位分布图及周期沉降展开图；</w:t>
      </w:r>
    </w:p>
    <w:p w14:paraId="47341F72">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（3）v-t-s（沉降速度、时间、沉降量）曲线图；</w:t>
      </w:r>
    </w:p>
    <w:p w14:paraId="789518DB">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（4）p-t-s（荷载、时间、沉降量）曲线图；</w:t>
      </w:r>
    </w:p>
    <w:p w14:paraId="5855BA7F">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（5）沉降观测分析报告。</w:t>
      </w:r>
    </w:p>
    <w:p w14:paraId="2F5D2FE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当最后100d的沉降速率小于0.01~0.04mm/d时可认为达到稳定。</w:t>
      </w:r>
    </w:p>
    <w:p w14:paraId="02E13478">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5.沉降观测中特殊情况处理：</w:t>
      </w:r>
    </w:p>
    <w:p w14:paraId="66029F79">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（1）当沉降观测点损坏或视线被阻挡无法观测时，应及时反馈建设单位采取相应措施，并在记录中详细说明；</w:t>
      </w:r>
    </w:p>
    <w:p w14:paraId="3DF4AE12">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（2）施工期间中途停工，按规定进行观测，并在停工后，复工前均应进行观测；</w:t>
      </w:r>
    </w:p>
    <w:p w14:paraId="7116C693">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（3）当建筑物突然发生大量沉降、不均匀沉降或严重裂缝时，应立即进行逐日或几天一次的连续观测，并详细记录，及时向有关单位反映，提出报告；</w:t>
      </w:r>
    </w:p>
    <w:p w14:paraId="29E17335">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（4）对裂缝发生的结构，应组织裂缝观测，在裂缝上设置如石膏条等观测标志，观测后绘制详图，画出裂缝位置、形状和尺寸，并注明日期和编号，必要时对裂缝照相记录实况。</w:t>
      </w:r>
    </w:p>
    <w:p w14:paraId="6820044E">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（5）出现暴雨、连续降雨或基坑周边大量积水时，应对周边建（构）筑物开展沉降加密观测。</w:t>
      </w:r>
    </w:p>
    <w:p w14:paraId="5E6127A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6.各监测项目变化速率或累计值达到报警值时，</w:t>
      </w:r>
      <w:r>
        <w:rPr>
          <w:rFonts w:hint="eastAsia" w:ascii="方正仿宋_GB2312" w:hAnsi="方正仿宋_GB2312" w:eastAsia="方正仿宋_GB2312" w:cs="方正仿宋_GB2312"/>
          <w:sz w:val="32"/>
          <w:szCs w:val="32"/>
          <w:lang w:val="en-US" w:eastAsia="zh-CN"/>
        </w:rPr>
        <w:t>应立即</w:t>
      </w:r>
      <w:r>
        <w:rPr>
          <w:rFonts w:hint="eastAsia" w:ascii="方正仿宋_GB2312" w:hAnsi="方正仿宋_GB2312" w:eastAsia="方正仿宋_GB2312" w:cs="方正仿宋_GB2312"/>
          <w:sz w:val="32"/>
          <w:szCs w:val="32"/>
        </w:rPr>
        <w:t>内向建设单位、监理单位口头上报，</w:t>
      </w:r>
      <w:r>
        <w:rPr>
          <w:rFonts w:hint="eastAsia" w:ascii="方正仿宋_GB2312" w:hAnsi="方正仿宋_GB2312" w:eastAsia="方正仿宋_GB2312" w:cs="方正仿宋_GB2312"/>
          <w:sz w:val="32"/>
          <w:szCs w:val="32"/>
          <w:lang w:val="en-US" w:eastAsia="zh-CN"/>
        </w:rPr>
        <w:t>随后</w:t>
      </w:r>
      <w:r>
        <w:rPr>
          <w:rFonts w:hint="eastAsia" w:ascii="方正仿宋_GB2312" w:hAnsi="方正仿宋_GB2312" w:eastAsia="方正仿宋_GB2312" w:cs="方正仿宋_GB2312"/>
          <w:sz w:val="32"/>
          <w:szCs w:val="32"/>
        </w:rPr>
        <w:t>1 小时内完成书面上报。</w:t>
      </w:r>
    </w:p>
    <w:p w14:paraId="5B6CD594">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29" w:name="heading_44"/>
      <w:r>
        <w:rPr>
          <w:rFonts w:hint="eastAsia" w:ascii="方正仿宋_GB2312" w:hAnsi="方正仿宋_GB2312" w:eastAsia="方正仿宋_GB2312" w:cs="方正仿宋_GB2312"/>
          <w:b/>
          <w:sz w:val="32"/>
          <w:szCs w:val="32"/>
        </w:rPr>
        <w:t>4 成果交付</w:t>
      </w:r>
      <w:bookmarkEnd w:id="29"/>
    </w:p>
    <w:p w14:paraId="5F141CE0">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监测报告确保满足完整性、连续性、准确性的基本要求。做到:</w:t>
      </w:r>
    </w:p>
    <w:p w14:paraId="7301793D">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1）整编资料的内容、项目、测次等齐全，各类图表的内容、规格、符号、单位，以及标注方式和编排顺序符合规定要求。</w:t>
      </w:r>
    </w:p>
    <w:p w14:paraId="41FDB40B">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2）各项监测资料整编的时间与前次整编能衔接，监测部位、测点及坐标系统等与历次整编一致。</w:t>
      </w:r>
    </w:p>
    <w:p w14:paraId="5BE97A8E">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3）各监测物理量的计(换)算和统计正确，有关图件准确、清晰。整编说明全面、分析结论、处理意见和建议符合实际。监测报告应含以下内容：</w:t>
      </w:r>
    </w:p>
    <w:p w14:paraId="7C800C56">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（1）工程概况；</w:t>
      </w:r>
    </w:p>
    <w:p w14:paraId="68FE3C05">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（2）监测依据；</w:t>
      </w:r>
    </w:p>
    <w:p w14:paraId="3DDAB140">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（3）监测方法与仪器设备型号；</w:t>
      </w:r>
    </w:p>
    <w:p w14:paraId="24BC5402">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（4）测点布置图；</w:t>
      </w:r>
    </w:p>
    <w:p w14:paraId="196A56C7">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（5）各监测项目变形量与时间关系曲线图（T-S）；</w:t>
      </w:r>
    </w:p>
    <w:p w14:paraId="69CA24BB">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（6）各监测项目成果表；</w:t>
      </w:r>
    </w:p>
    <w:p w14:paraId="01711814">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（7）各监测项目数据分析；</w:t>
      </w:r>
    </w:p>
    <w:p w14:paraId="12144F1A">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（8）结论及建议。</w:t>
      </w:r>
    </w:p>
    <w:p w14:paraId="1F3EB04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每次或每阶段监测（观测）完成后，承包人出具过程报告。在工程完工时，对所有监测（观测）报告原件，按发包人项目划分和档案管理要求原则组卷成册，作为竣工文件，向发包人提交纸质版八份，</w:t>
      </w:r>
      <w:r>
        <w:rPr>
          <w:rFonts w:hint="eastAsia" w:ascii="方正仿宋_GB2312" w:hAnsi="方正仿宋_GB2312" w:eastAsia="方正仿宋_GB2312" w:cs="方正仿宋_GB2312"/>
          <w:sz w:val="32"/>
          <w:szCs w:val="32"/>
          <w:lang w:val="en-US" w:eastAsia="zh-CN"/>
        </w:rPr>
        <w:t>电子版一份</w:t>
      </w:r>
      <w:r>
        <w:rPr>
          <w:rFonts w:hint="eastAsia" w:ascii="方正仿宋_GB2312" w:hAnsi="方正仿宋_GB2312" w:eastAsia="方正仿宋_GB2312" w:cs="方正仿宋_GB2312"/>
          <w:sz w:val="32"/>
          <w:szCs w:val="32"/>
        </w:rPr>
        <w:t>。</w:t>
      </w:r>
    </w:p>
    <w:p w14:paraId="1AB6D1CC">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30" w:name="heading_45"/>
      <w:r>
        <w:rPr>
          <w:rFonts w:hint="eastAsia" w:ascii="方正仿宋_GB2312" w:hAnsi="方正仿宋_GB2312" w:eastAsia="方正仿宋_GB2312" w:cs="方正仿宋_GB2312"/>
          <w:b/>
          <w:sz w:val="32"/>
          <w:szCs w:val="32"/>
        </w:rPr>
        <w:t>5 人员设备要求</w:t>
      </w:r>
      <w:bookmarkEnd w:id="30"/>
    </w:p>
    <w:p w14:paraId="4AB0CDAF">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作业人员持证上岗，项目负责人具备对应职称及执业资格；全部监测仪器定期检定合格，在有效期内使用，设备精度、参数满足规范测量要求。</w:t>
      </w:r>
    </w:p>
    <w:p w14:paraId="0B013586">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bookmarkStart w:id="31" w:name="heading_46"/>
    </w:p>
    <w:p w14:paraId="129B0049">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35F611EB">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52815C7D">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68EAB5F1">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3839ED82">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3ED07673">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07AB1734">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2979112C">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b/>
          <w:sz w:val="32"/>
          <w:szCs w:val="32"/>
        </w:rPr>
      </w:pPr>
    </w:p>
    <w:p w14:paraId="5959E6CD">
      <w:pPr>
        <w:keepNext w:val="0"/>
        <w:keepLines w:val="0"/>
        <w:pageBreakBefore w:val="0"/>
        <w:widowControl w:val="0"/>
        <w:kinsoku/>
        <w:wordWrap/>
        <w:overflowPunct/>
        <w:topLinePunct w:val="0"/>
        <w:autoSpaceDE/>
        <w:autoSpaceDN/>
        <w:bidi w:val="0"/>
        <w:spacing w:before="320" w:after="120" w:line="500" w:lineRule="exact"/>
        <w:ind w:left="0"/>
        <w:jc w:val="left"/>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第六章 投标文件格式</w:t>
      </w:r>
      <w:bookmarkEnd w:id="31"/>
    </w:p>
    <w:p w14:paraId="063DD5FA">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bookmarkStart w:id="32" w:name="heading_47"/>
      <w:r>
        <w:rPr>
          <w:rFonts w:hint="eastAsia" w:ascii="方正仿宋_GB2312" w:hAnsi="方正仿宋_GB2312" w:eastAsia="方正仿宋_GB2312" w:cs="方正仿宋_GB2312"/>
          <w:b/>
          <w:sz w:val="32"/>
          <w:szCs w:val="32"/>
        </w:rPr>
        <w:t xml:space="preserve">格式一 </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投 标 函</w:t>
      </w:r>
      <w:bookmarkEnd w:id="32"/>
    </w:p>
    <w:p w14:paraId="77FDC74B">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致：万基铝业（新疆）有限公司</w:t>
      </w:r>
    </w:p>
    <w:p w14:paraId="1442BC09">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我方已完整研读、充分理解本项目全部招标文件内容，自愿参与本次投标工作，郑重承诺如下：</w:t>
      </w:r>
    </w:p>
    <w:p w14:paraId="196513D4">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我方投标总报价：人民币__________元（大写：____________________），为固定总价价格，包含本项目全部服务内容所有费用。</w:t>
      </w:r>
    </w:p>
    <w:p w14:paraId="38547993">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我方承诺服务质量、服务周期、技术标准完全满足招标文件及国家行业规范全部要求。</w:t>
      </w:r>
    </w:p>
    <w:p w14:paraId="16505509">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我方承诺投标有效期为90日历天，有效期内不撤销、不修改投标文件。</w:t>
      </w:r>
    </w:p>
    <w:p w14:paraId="052A1A2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我方完全认可招标文件所有条款及要求，若有幸中标，将按期签订合同、全面履约、保质保量完成全部服务工作。</w:t>
      </w:r>
    </w:p>
    <w:p w14:paraId="7A77B86B">
      <w:pPr>
        <w:keepNext w:val="0"/>
        <w:keepLines w:val="0"/>
        <w:pageBreakBefore w:val="0"/>
        <w:widowControl w:val="0"/>
        <w:kinsoku/>
        <w:wordWrap/>
        <w:overflowPunct/>
        <w:topLinePunct w:val="0"/>
        <w:autoSpaceDE/>
        <w:autoSpaceDN/>
        <w:bidi w:val="0"/>
        <w:spacing w:before="120" w:after="120" w:line="500" w:lineRule="exact"/>
        <w:ind w:left="0" w:firstLine="2891" w:firstLineChars="9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投标人（盖章）</w:t>
      </w:r>
      <w:r>
        <w:rPr>
          <w:rFonts w:hint="eastAsia" w:ascii="方正仿宋_GB2312" w:hAnsi="方正仿宋_GB2312" w:eastAsia="方正仿宋_GB2312" w:cs="方正仿宋_GB2312"/>
          <w:sz w:val="32"/>
          <w:szCs w:val="32"/>
        </w:rPr>
        <w:t>：_____________</w:t>
      </w:r>
    </w:p>
    <w:p w14:paraId="37CB4D47">
      <w:pPr>
        <w:keepNext w:val="0"/>
        <w:keepLines w:val="0"/>
        <w:pageBreakBefore w:val="0"/>
        <w:widowControl w:val="0"/>
        <w:kinsoku/>
        <w:wordWrap/>
        <w:overflowPunct/>
        <w:topLinePunct w:val="0"/>
        <w:autoSpaceDE/>
        <w:autoSpaceDN/>
        <w:bidi w:val="0"/>
        <w:spacing w:before="120" w:after="120" w:line="500" w:lineRule="exact"/>
        <w:ind w:left="0" w:firstLine="2891" w:firstLineChars="9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法定代表人/授权代表（签字）</w:t>
      </w:r>
      <w:r>
        <w:rPr>
          <w:rFonts w:hint="eastAsia" w:ascii="方正仿宋_GB2312" w:hAnsi="方正仿宋_GB2312" w:eastAsia="方正仿宋_GB2312" w:cs="方正仿宋_GB2312"/>
          <w:sz w:val="32"/>
          <w:szCs w:val="32"/>
        </w:rPr>
        <w:t>：___</w:t>
      </w:r>
    </w:p>
    <w:p w14:paraId="4B5B96BF">
      <w:pPr>
        <w:keepNext w:val="0"/>
        <w:keepLines w:val="0"/>
        <w:pageBreakBefore w:val="0"/>
        <w:widowControl w:val="0"/>
        <w:kinsoku/>
        <w:wordWrap/>
        <w:overflowPunct/>
        <w:topLinePunct w:val="0"/>
        <w:autoSpaceDE/>
        <w:autoSpaceDN/>
        <w:bidi w:val="0"/>
        <w:spacing w:before="120" w:after="120" w:line="500" w:lineRule="exact"/>
        <w:ind w:firstLine="2891" w:firstLineChars="9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日期</w:t>
      </w:r>
      <w:r>
        <w:rPr>
          <w:rFonts w:hint="eastAsia" w:ascii="方正仿宋_GB2312" w:hAnsi="方正仿宋_GB2312" w:eastAsia="方正仿宋_GB2312" w:cs="方正仿宋_GB2312"/>
          <w:sz w:val="32"/>
          <w:szCs w:val="32"/>
        </w:rPr>
        <w:t>：2026年____月____日</w:t>
      </w:r>
    </w:p>
    <w:p w14:paraId="6B0ABA8F">
      <w:pPr>
        <w:pStyle w:val="11"/>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sz w:val="32"/>
          <w:szCs w:val="32"/>
        </w:rPr>
      </w:pPr>
    </w:p>
    <w:p w14:paraId="53E693EE">
      <w:pPr>
        <w:pStyle w:val="11"/>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1A79C574">
      <w:pPr>
        <w:pStyle w:val="11"/>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sz w:val="32"/>
          <w:szCs w:val="32"/>
        </w:rPr>
      </w:pPr>
    </w:p>
    <w:p w14:paraId="553AFA30">
      <w:pPr>
        <w:pStyle w:val="11"/>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分项报价明细表</w:t>
      </w:r>
    </w:p>
    <w:p w14:paraId="1160B921">
      <w:pPr>
        <w:pStyle w:val="11"/>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sz w:val="32"/>
          <w:szCs w:val="32"/>
        </w:rPr>
      </w:pP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477"/>
        <w:gridCol w:w="2380"/>
        <w:gridCol w:w="1685"/>
        <w:gridCol w:w="1008"/>
      </w:tblGrid>
      <w:tr w14:paraId="1A82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71" w:type="dxa"/>
            <w:vAlign w:val="center"/>
          </w:tcPr>
          <w:p w14:paraId="438F920B">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服务内容</w:t>
            </w:r>
          </w:p>
        </w:tc>
        <w:tc>
          <w:tcPr>
            <w:tcW w:w="0" w:type="auto"/>
            <w:vAlign w:val="center"/>
          </w:tcPr>
          <w:p w14:paraId="21E79BD6">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单价</w:t>
            </w:r>
          </w:p>
        </w:tc>
        <w:tc>
          <w:tcPr>
            <w:tcW w:w="2380" w:type="dxa"/>
            <w:vAlign w:val="center"/>
          </w:tcPr>
          <w:p w14:paraId="3B60A3C5">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工作量</w:t>
            </w:r>
          </w:p>
        </w:tc>
        <w:tc>
          <w:tcPr>
            <w:tcW w:w="0" w:type="auto"/>
            <w:vAlign w:val="center"/>
          </w:tcPr>
          <w:p w14:paraId="2C68D27B">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金额（元）</w:t>
            </w:r>
          </w:p>
        </w:tc>
        <w:tc>
          <w:tcPr>
            <w:tcW w:w="1008" w:type="dxa"/>
            <w:vAlign w:val="center"/>
          </w:tcPr>
          <w:p w14:paraId="3506BAA8">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备注</w:t>
            </w:r>
          </w:p>
        </w:tc>
      </w:tr>
      <w:tr w14:paraId="6A49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1" w:type="dxa"/>
            <w:vAlign w:val="center"/>
          </w:tcPr>
          <w:p w14:paraId="16CC9FF0">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深基坑监测</w:t>
            </w:r>
          </w:p>
        </w:tc>
        <w:tc>
          <w:tcPr>
            <w:tcW w:w="0" w:type="auto"/>
            <w:vAlign w:val="center"/>
          </w:tcPr>
          <w:p w14:paraId="2D6EB01C">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元</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b/>
                <w:bCs/>
                <w:sz w:val="28"/>
                <w:szCs w:val="28"/>
                <w:lang w:val="en-US" w:eastAsia="zh-CN"/>
              </w:rPr>
              <w:t>点·次</w:t>
            </w:r>
          </w:p>
        </w:tc>
        <w:tc>
          <w:tcPr>
            <w:tcW w:w="2380" w:type="dxa"/>
            <w:vAlign w:val="center"/>
          </w:tcPr>
          <w:p w14:paraId="694968CC">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监测点数50个，监测频次30次</w:t>
            </w:r>
          </w:p>
        </w:tc>
        <w:tc>
          <w:tcPr>
            <w:tcW w:w="0" w:type="auto"/>
            <w:vAlign w:val="center"/>
          </w:tcPr>
          <w:p w14:paraId="02D5F20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right"/>
              <w:textAlignment w:val="auto"/>
              <w:rPr>
                <w:rFonts w:hint="eastAsia" w:ascii="方正仿宋_GB2312" w:hAnsi="方正仿宋_GB2312" w:eastAsia="方正仿宋_GB2312" w:cs="方正仿宋_GB2312"/>
                <w:sz w:val="28"/>
                <w:szCs w:val="28"/>
                <w:lang w:val="en-US" w:eastAsia="zh-CN"/>
              </w:rPr>
            </w:pPr>
          </w:p>
        </w:tc>
        <w:tc>
          <w:tcPr>
            <w:tcW w:w="1008" w:type="dxa"/>
            <w:vAlign w:val="center"/>
          </w:tcPr>
          <w:p w14:paraId="6CE383D2">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p>
        </w:tc>
      </w:tr>
      <w:tr w14:paraId="6980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1" w:type="dxa"/>
            <w:vAlign w:val="center"/>
          </w:tcPr>
          <w:p w14:paraId="371DA07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沉降观测</w:t>
            </w:r>
          </w:p>
        </w:tc>
        <w:tc>
          <w:tcPr>
            <w:tcW w:w="0" w:type="auto"/>
            <w:shd w:val="clear" w:color="auto" w:fill="auto"/>
            <w:vAlign w:val="center"/>
          </w:tcPr>
          <w:p w14:paraId="390913D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元</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b/>
                <w:bCs/>
                <w:sz w:val="28"/>
                <w:szCs w:val="28"/>
                <w:lang w:val="en-US" w:eastAsia="zh-CN"/>
              </w:rPr>
              <w:t>点·次</w:t>
            </w:r>
          </w:p>
        </w:tc>
        <w:tc>
          <w:tcPr>
            <w:tcW w:w="2380" w:type="dxa"/>
            <w:vAlign w:val="center"/>
          </w:tcPr>
          <w:p w14:paraId="7D196B0A">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观测点数873个，观测次数10次</w:t>
            </w:r>
          </w:p>
        </w:tc>
        <w:tc>
          <w:tcPr>
            <w:tcW w:w="0" w:type="auto"/>
            <w:vAlign w:val="center"/>
          </w:tcPr>
          <w:p w14:paraId="2FF91087">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right"/>
              <w:textAlignment w:val="auto"/>
              <w:rPr>
                <w:rFonts w:hint="eastAsia" w:ascii="方正仿宋_GB2312" w:hAnsi="方正仿宋_GB2312" w:eastAsia="方正仿宋_GB2312" w:cs="方正仿宋_GB2312"/>
                <w:sz w:val="28"/>
                <w:szCs w:val="28"/>
                <w:lang w:val="en-US" w:eastAsia="zh-CN"/>
              </w:rPr>
            </w:pPr>
          </w:p>
        </w:tc>
        <w:tc>
          <w:tcPr>
            <w:tcW w:w="1008" w:type="dxa"/>
            <w:vAlign w:val="center"/>
          </w:tcPr>
          <w:p w14:paraId="42C5DFF6">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p>
        </w:tc>
      </w:tr>
      <w:tr w14:paraId="7AFD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1" w:type="dxa"/>
            <w:vAlign w:val="center"/>
          </w:tcPr>
          <w:p w14:paraId="09191EEF">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总计</w:t>
            </w:r>
          </w:p>
          <w:p w14:paraId="651EBE4E">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p>
        </w:tc>
        <w:tc>
          <w:tcPr>
            <w:tcW w:w="1008" w:type="dxa"/>
            <w:gridSpan w:val="4"/>
            <w:vAlign w:val="center"/>
          </w:tcPr>
          <w:p w14:paraId="277DD73C">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元（大写：</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，固定总价），（其中不含税总价</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 ，税金总额</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w:t>
            </w:r>
          </w:p>
        </w:tc>
      </w:tr>
    </w:tbl>
    <w:p w14:paraId="5B7A52B8">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b/>
          <w:bCs/>
          <w:sz w:val="24"/>
          <w:szCs w:val="24"/>
        </w:rPr>
      </w:pPr>
    </w:p>
    <w:p w14:paraId="032C734D">
      <w:pPr>
        <w:pStyle w:val="11"/>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注：当实际服务内容的工作量（以上表中工作量为基础）增减超出±5%时，其超出部分据实调整。服务内容工程量增减在±5%以内时，不做调整。服务内容工程量增减超出±5%时，只调整超出部分。</w:t>
      </w:r>
    </w:p>
    <w:p w14:paraId="6A212545">
      <w:pPr>
        <w:pStyle w:val="11"/>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24"/>
          <w:szCs w:val="24"/>
          <w:lang w:val="en-US" w:eastAsia="zh-CN"/>
        </w:rPr>
        <w:t>调整的方法为：超出部分工作量×单价。</w:t>
      </w:r>
    </w:p>
    <w:p w14:paraId="0AA9410C">
      <w:pPr>
        <w:keepNext w:val="0"/>
        <w:keepLines w:val="0"/>
        <w:pageBreakBefore w:val="0"/>
        <w:widowControl w:val="0"/>
        <w:kinsoku/>
        <w:wordWrap/>
        <w:overflowPunct/>
        <w:topLinePunct w:val="0"/>
        <w:autoSpaceDE/>
        <w:autoSpaceDN/>
        <w:bidi w:val="0"/>
        <w:spacing w:before="120" w:after="120" w:line="500" w:lineRule="exact"/>
        <w:ind w:firstLine="2249" w:firstLineChars="7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投标人（盖章）：______________</w:t>
      </w:r>
    </w:p>
    <w:p w14:paraId="633FE5AB">
      <w:pPr>
        <w:keepNext w:val="0"/>
        <w:keepLines w:val="0"/>
        <w:pageBreakBefore w:val="0"/>
        <w:widowControl w:val="0"/>
        <w:kinsoku/>
        <w:wordWrap/>
        <w:overflowPunct/>
        <w:topLinePunct w:val="0"/>
        <w:autoSpaceDE/>
        <w:autoSpaceDN/>
        <w:bidi w:val="0"/>
        <w:spacing w:before="120" w:after="120" w:line="500" w:lineRule="exact"/>
        <w:ind w:left="0" w:firstLine="2249" w:firstLineChars="7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法定代表人/授权代表（签字）：_______</w:t>
      </w:r>
    </w:p>
    <w:p w14:paraId="4B29E581">
      <w:pPr>
        <w:keepNext w:val="0"/>
        <w:keepLines w:val="0"/>
        <w:pageBreakBefore w:val="0"/>
        <w:widowControl w:val="0"/>
        <w:kinsoku/>
        <w:wordWrap/>
        <w:overflowPunct/>
        <w:topLinePunct w:val="0"/>
        <w:autoSpaceDE/>
        <w:autoSpaceDN/>
        <w:bidi w:val="0"/>
        <w:spacing w:before="120" w:after="120" w:line="500" w:lineRule="exact"/>
        <w:ind w:left="0" w:firstLine="2249" w:firstLineChars="7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日期：2026年____月____日</w:t>
      </w:r>
    </w:p>
    <w:p w14:paraId="55BD6ACF">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bookmarkStart w:id="33" w:name="heading_48"/>
    </w:p>
    <w:p w14:paraId="756A84E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39AC9C0F">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69F53D2F">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444B292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格式二 </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法定代表人身份证明</w:t>
      </w:r>
      <w:bookmarkEnd w:id="33"/>
    </w:p>
    <w:p w14:paraId="3E2E2A54">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b/>
          <w:sz w:val="32"/>
          <w:szCs w:val="32"/>
        </w:rPr>
      </w:pPr>
    </w:p>
    <w:p w14:paraId="4514488F">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单位名称</w:t>
      </w:r>
      <w:r>
        <w:rPr>
          <w:rFonts w:hint="eastAsia" w:ascii="方正仿宋_GB2312" w:hAnsi="方正仿宋_GB2312" w:eastAsia="方正仿宋_GB2312" w:cs="方正仿宋_GB2312"/>
          <w:sz w:val="32"/>
          <w:szCs w:val="32"/>
        </w:rPr>
        <w:t>：____________________</w:t>
      </w:r>
    </w:p>
    <w:p w14:paraId="50387484">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单位性质</w:t>
      </w:r>
      <w:r>
        <w:rPr>
          <w:rFonts w:hint="eastAsia" w:ascii="方正仿宋_GB2312" w:hAnsi="方正仿宋_GB2312" w:eastAsia="方正仿宋_GB2312" w:cs="方正仿宋_GB2312"/>
          <w:sz w:val="32"/>
          <w:szCs w:val="32"/>
        </w:rPr>
        <w:t>：____________________</w:t>
      </w:r>
    </w:p>
    <w:p w14:paraId="6FE6FBD6">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注册地址</w:t>
      </w:r>
      <w:r>
        <w:rPr>
          <w:rFonts w:hint="eastAsia" w:ascii="方正仿宋_GB2312" w:hAnsi="方正仿宋_GB2312" w:eastAsia="方正仿宋_GB2312" w:cs="方正仿宋_GB2312"/>
          <w:sz w:val="32"/>
          <w:szCs w:val="32"/>
        </w:rPr>
        <w:t>：____________________</w:t>
      </w:r>
    </w:p>
    <w:p w14:paraId="453075D0">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成立日期</w:t>
      </w:r>
      <w:r>
        <w:rPr>
          <w:rFonts w:hint="eastAsia" w:ascii="方正仿宋_GB2312" w:hAnsi="方正仿宋_GB2312" w:eastAsia="方正仿宋_GB2312" w:cs="方正仿宋_GB2312"/>
          <w:sz w:val="32"/>
          <w:szCs w:val="32"/>
        </w:rPr>
        <w:t>：____________________</w:t>
      </w:r>
    </w:p>
    <w:p w14:paraId="6CD64CD1">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经营有效期</w:t>
      </w:r>
      <w:r>
        <w:rPr>
          <w:rFonts w:hint="eastAsia" w:ascii="方正仿宋_GB2312" w:hAnsi="方正仿宋_GB2312" w:eastAsia="方正仿宋_GB2312" w:cs="方正仿宋_GB2312"/>
          <w:sz w:val="32"/>
          <w:szCs w:val="32"/>
        </w:rPr>
        <w:t>：____________________</w:t>
      </w:r>
    </w:p>
    <w:p w14:paraId="00D479DA">
      <w:pPr>
        <w:keepNext w:val="0"/>
        <w:keepLines w:val="0"/>
        <w:pageBreakBefore w:val="0"/>
        <w:widowControl w:val="0"/>
        <w:kinsoku/>
        <w:wordWrap/>
        <w:overflowPunct/>
        <w:topLinePunct w:val="0"/>
        <w:autoSpaceDE/>
        <w:autoSpaceDN/>
        <w:bidi w:val="0"/>
        <w:spacing w:before="120" w:after="120" w:line="500" w:lineRule="exact"/>
        <w:ind w:left="0" w:firstLine="960" w:firstLineChars="3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姓名：____ 性别：____ 职务：____，系我单位法定代表人，特此证明。</w:t>
      </w:r>
    </w:p>
    <w:p w14:paraId="7F5A5715">
      <w:pPr>
        <w:keepNext w:val="0"/>
        <w:keepLines w:val="0"/>
        <w:pageBreakBefore w:val="0"/>
        <w:widowControl w:val="0"/>
        <w:kinsoku/>
        <w:wordWrap/>
        <w:overflowPunct/>
        <w:topLinePunct w:val="0"/>
        <w:autoSpaceDE/>
        <w:autoSpaceDN/>
        <w:bidi w:val="0"/>
        <w:spacing w:before="120" w:after="120" w:line="500" w:lineRule="exact"/>
        <w:ind w:left="0" w:firstLine="960" w:firstLineChars="300"/>
        <w:jc w:val="left"/>
        <w:textAlignment w:val="auto"/>
        <w:rPr>
          <w:rFonts w:hint="eastAsia" w:ascii="方正仿宋_GB2312" w:hAnsi="方正仿宋_GB2312" w:eastAsia="方正仿宋_GB2312" w:cs="方正仿宋_GB2312"/>
          <w:sz w:val="32"/>
          <w:szCs w:val="32"/>
        </w:rPr>
      </w:pPr>
    </w:p>
    <w:p w14:paraId="488850C3">
      <w:pPr>
        <w:keepNext w:val="0"/>
        <w:keepLines w:val="0"/>
        <w:pageBreakBefore w:val="0"/>
        <w:widowControl w:val="0"/>
        <w:kinsoku/>
        <w:wordWrap/>
        <w:overflowPunct/>
        <w:topLinePunct w:val="0"/>
        <w:autoSpaceDE/>
        <w:autoSpaceDN/>
        <w:bidi w:val="0"/>
        <w:spacing w:before="120" w:after="120" w:line="500" w:lineRule="exact"/>
        <w:ind w:left="0" w:firstLine="3213" w:firstLineChars="10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rPr>
        <w:t>投标人（盖章）</w:t>
      </w:r>
      <w:r>
        <w:rPr>
          <w:rFonts w:hint="eastAsia" w:ascii="方正仿宋_GB2312" w:hAnsi="方正仿宋_GB2312" w:eastAsia="方正仿宋_GB2312" w:cs="方正仿宋_GB2312"/>
          <w:sz w:val="32"/>
          <w:szCs w:val="32"/>
        </w:rPr>
        <w:t>：____________</w:t>
      </w:r>
      <w:r>
        <w:rPr>
          <w:rFonts w:hint="eastAsia" w:ascii="方正仿宋_GB2312" w:hAnsi="方正仿宋_GB2312" w:eastAsia="方正仿宋_GB2312" w:cs="方正仿宋_GB2312"/>
          <w:sz w:val="32"/>
          <w:szCs w:val="32"/>
          <w:lang w:val="en-US" w:eastAsia="zh-CN"/>
        </w:rPr>
        <w:t xml:space="preserve"> </w:t>
      </w:r>
    </w:p>
    <w:p w14:paraId="0CB681A8">
      <w:pPr>
        <w:keepNext w:val="0"/>
        <w:keepLines w:val="0"/>
        <w:pageBreakBefore w:val="0"/>
        <w:widowControl w:val="0"/>
        <w:kinsoku/>
        <w:wordWrap/>
        <w:overflowPunct/>
        <w:topLinePunct w:val="0"/>
        <w:autoSpaceDE/>
        <w:autoSpaceDN/>
        <w:bidi w:val="0"/>
        <w:spacing w:before="120" w:after="120" w:line="500" w:lineRule="exact"/>
        <w:ind w:left="0" w:firstLine="3213" w:firstLineChars="10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日期</w:t>
      </w:r>
      <w:r>
        <w:rPr>
          <w:rFonts w:hint="eastAsia" w:ascii="方正仿宋_GB2312" w:hAnsi="方正仿宋_GB2312" w:eastAsia="方正仿宋_GB2312" w:cs="方正仿宋_GB2312"/>
          <w:sz w:val="32"/>
          <w:szCs w:val="32"/>
        </w:rPr>
        <w:t>：____年____月____日</w:t>
      </w:r>
    </w:p>
    <w:p w14:paraId="23D3B8DA">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bookmarkStart w:id="34" w:name="heading_49"/>
    </w:p>
    <w:p w14:paraId="152E0E60">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8EBC2AE">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1EC6D954">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16ED7114">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1C45F96">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A56754C">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BCC2C65">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33160F05">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1CAE5E42">
      <w:pPr>
        <w:pStyle w:val="6"/>
        <w:spacing w:before="0" w:after="0" w:line="500" w:lineRule="exact"/>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格式三 </w:t>
      </w:r>
      <w:bookmarkEnd w:id="34"/>
      <w:r>
        <w:rPr>
          <w:rFonts w:hint="eastAsia" w:ascii="仿宋" w:hAnsi="仿宋" w:eastAsia="仿宋" w:cs="仿宋_GB2312"/>
          <w:b/>
          <w:bCs/>
          <w:sz w:val="32"/>
          <w:szCs w:val="32"/>
        </w:rPr>
        <w:t>投标人法定代表人授权书</w:t>
      </w:r>
    </w:p>
    <w:p w14:paraId="535E8575">
      <w:pPr>
        <w:keepNext w:val="0"/>
        <w:keepLines w:val="0"/>
        <w:pageBreakBefore w:val="0"/>
        <w:widowControl w:val="0"/>
        <w:kinsoku/>
        <w:wordWrap/>
        <w:overflowPunct/>
        <w:topLinePunct w:val="0"/>
        <w:autoSpaceDE/>
        <w:autoSpaceDN/>
        <w:bidi w:val="0"/>
        <w:spacing w:before="300" w:after="120" w:line="500" w:lineRule="exact"/>
        <w:ind w:left="0"/>
        <w:jc w:val="center"/>
        <w:textAlignment w:val="auto"/>
        <w:outlineLvl w:val="2"/>
        <w:rPr>
          <w:rFonts w:hint="eastAsia" w:ascii="方正仿宋_GB2312" w:hAnsi="方正仿宋_GB2312" w:eastAsia="方正仿宋_GB2312" w:cs="方正仿宋_GB2312"/>
          <w:sz w:val="32"/>
          <w:szCs w:val="32"/>
        </w:rPr>
      </w:pPr>
      <w:bookmarkStart w:id="35" w:name="heading_50"/>
      <w:r>
        <w:rPr>
          <w:rFonts w:hint="eastAsia" w:ascii="方正仿宋_GB2312" w:hAnsi="方正仿宋_GB2312" w:eastAsia="方正仿宋_GB2312" w:cs="方正仿宋_GB2312"/>
          <w:sz w:val="32"/>
          <w:szCs w:val="32"/>
        </w:rPr>
        <w:t>投标人法定代表人授权书</w:t>
      </w:r>
    </w:p>
    <w:p w14:paraId="52D9DF06">
      <w:pPr>
        <w:keepNext w:val="0"/>
        <w:keepLines w:val="0"/>
        <w:pageBreakBefore w:val="0"/>
        <w:widowControl w:val="0"/>
        <w:kinsoku/>
        <w:wordWrap/>
        <w:overflowPunct/>
        <w:topLinePunct w:val="0"/>
        <w:autoSpaceDE/>
        <w:autoSpaceDN/>
        <w:bidi w:val="0"/>
        <w:spacing w:before="300" w:after="120" w:line="500" w:lineRule="exact"/>
        <w:ind w:left="0" w:firstLine="4800" w:firstLineChars="150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项目名称：               </w:t>
      </w:r>
    </w:p>
    <w:p w14:paraId="6AE2ADCC">
      <w:pPr>
        <w:keepNext w:val="0"/>
        <w:keepLines w:val="0"/>
        <w:pageBreakBefore w:val="0"/>
        <w:widowControl w:val="0"/>
        <w:kinsoku/>
        <w:wordWrap/>
        <w:overflowPunct/>
        <w:topLinePunct w:val="0"/>
        <w:autoSpaceDE/>
        <w:autoSpaceDN/>
        <w:bidi w:val="0"/>
        <w:spacing w:before="300" w:after="120" w:line="500" w:lineRule="exact"/>
        <w:ind w:left="0" w:firstLine="4800" w:firstLineChars="150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日    期：               </w:t>
      </w:r>
    </w:p>
    <w:p w14:paraId="20DC2410">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致：(招标机构名称)</w:t>
      </w:r>
    </w:p>
    <w:p w14:paraId="3EE956C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(投标人名称)，中华人民共和国合法企业，法定地址_____________。</w:t>
      </w:r>
    </w:p>
    <w:p w14:paraId="2D7C5B55">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(授权人姓名)特授权(被授权人姓名)代表我公司全权办理针对万基控股集团有限公司                项目的投标、谈判、签约等具体工作，并签署全部有关的文件、协议及合同。我公司对被授权人的签名负全部责任。</w:t>
      </w:r>
    </w:p>
    <w:p w14:paraId="0CFAFDC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在撤销授权的书面通知送达对方以前，本授权书一直有效。被授权人签署的所有文件(在授权书有效期内签署的)不因授权的撤消而失效。</w:t>
      </w:r>
    </w:p>
    <w:p w14:paraId="529B3A94">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被授权人签名：                    授权人签名：              </w:t>
      </w:r>
    </w:p>
    <w:p w14:paraId="0AB5327E">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职        务：                    职      务：              </w:t>
      </w:r>
    </w:p>
    <w:p w14:paraId="6804CBC2">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 xml:space="preserve">                                  投标人公章：           </w:t>
      </w:r>
    </w:p>
    <w:p w14:paraId="5C9DEE63">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256BF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r>
        <w:rPr>
          <w:rFonts w:hint="eastAsia" w:ascii="宋体" w:hAnsi="宋体" w:cs="宋体"/>
          <w:b/>
          <w:bCs/>
          <w:snapToGrid w:val="0"/>
          <w:sz w:val="32"/>
          <w:szCs w:val="32"/>
          <w:lang w:val="en-US" w:eastAsia="zh-CN"/>
        </w:rPr>
        <w:t>格式四</w:t>
      </w:r>
      <w:r>
        <w:rPr>
          <w:rFonts w:hint="eastAsia" w:ascii="宋体" w:hAnsi="宋体" w:cs="宋体"/>
          <w:b/>
          <w:bCs/>
          <w:snapToGrid w:val="0"/>
          <w:sz w:val="32"/>
          <w:szCs w:val="32"/>
        </w:rPr>
        <w:t xml:space="preserve">  廉政承诺书</w:t>
      </w:r>
    </w:p>
    <w:p w14:paraId="5DC37F52">
      <w:pPr>
        <w:spacing w:line="480" w:lineRule="exact"/>
        <w:jc w:val="center"/>
        <w:rPr>
          <w:rFonts w:ascii="仿宋" w:hAnsi="仿宋" w:eastAsia="仿宋"/>
          <w:sz w:val="32"/>
          <w:szCs w:val="32"/>
        </w:rPr>
      </w:pPr>
      <w:r>
        <w:rPr>
          <w:rFonts w:hint="eastAsia" w:ascii="宋体" w:hAnsi="宋体" w:cs="宋体"/>
          <w:b/>
          <w:bCs/>
          <w:sz w:val="44"/>
          <w:szCs w:val="44"/>
        </w:rPr>
        <w:t>投标人廉政承诺书</w:t>
      </w:r>
    </w:p>
    <w:p w14:paraId="0C5EC33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4B7F57F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B21CF1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780750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46AC23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4485367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5、不给责任人的违法违规行为说情。 </w:t>
      </w:r>
    </w:p>
    <w:p w14:paraId="7287A8E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4259EE9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F2E722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E55987B">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FDE0674">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sz w:val="32"/>
          <w:szCs w:val="32"/>
        </w:rPr>
      </w:pPr>
    </w:p>
    <w:p w14:paraId="1B9E4E4C">
      <w:pPr>
        <w:keepNext w:val="0"/>
        <w:keepLines w:val="0"/>
        <w:pageBreakBefore w:val="0"/>
        <w:widowControl w:val="0"/>
        <w:kinsoku/>
        <w:wordWrap/>
        <w:overflowPunct/>
        <w:topLinePunct w:val="0"/>
        <w:autoSpaceDE/>
        <w:autoSpaceDN/>
        <w:bidi w:val="0"/>
        <w:adjustRightInd/>
        <w:snapToGrid/>
        <w:spacing w:line="420" w:lineRule="exact"/>
        <w:ind w:firstLine="2560" w:firstLineChars="800"/>
        <w:jc w:val="left"/>
        <w:textAlignment w:val="auto"/>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DAB076A">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71DAC863">
      <w:pPr>
        <w:keepNext w:val="0"/>
        <w:keepLines w:val="0"/>
        <w:pageBreakBefore w:val="0"/>
        <w:widowControl w:val="0"/>
        <w:kinsoku/>
        <w:wordWrap/>
        <w:overflowPunct/>
        <w:topLinePunct w:val="0"/>
        <w:autoSpaceDE/>
        <w:autoSpaceDN/>
        <w:bidi w:val="0"/>
        <w:adjustRightInd/>
        <w:snapToGrid/>
        <w:spacing w:line="420" w:lineRule="exact"/>
        <w:ind w:firstLine="2560" w:firstLineChars="800"/>
        <w:textAlignment w:val="auto"/>
        <w:rPr>
          <w:rFonts w:hint="eastAsia" w:ascii="仿宋" w:hAnsi="仿宋" w:eastAsia="仿宋"/>
          <w:sz w:val="32"/>
          <w:szCs w:val="32"/>
        </w:rPr>
      </w:pPr>
      <w:r>
        <w:rPr>
          <w:rFonts w:hint="eastAsia" w:ascii="仿宋" w:hAnsi="仿宋" w:eastAsia="仿宋"/>
          <w:sz w:val="32"/>
          <w:szCs w:val="32"/>
        </w:rPr>
        <w:t>2026年    月    日</w:t>
      </w:r>
    </w:p>
    <w:p w14:paraId="7C6CAA01">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17E31B37">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格式</w:t>
      </w:r>
      <w:r>
        <w:rPr>
          <w:rFonts w:hint="eastAsia" w:ascii="方正仿宋_GB2312" w:hAnsi="方正仿宋_GB2312" w:eastAsia="方正仿宋_GB2312" w:cs="方正仿宋_GB2312"/>
          <w:b/>
          <w:sz w:val="32"/>
          <w:szCs w:val="32"/>
          <w:lang w:val="en-US" w:eastAsia="zh-CN"/>
        </w:rPr>
        <w:t>五</w:t>
      </w:r>
      <w:r>
        <w:rPr>
          <w:rFonts w:hint="eastAsia" w:ascii="方正仿宋_GB2312" w:hAnsi="方正仿宋_GB2312" w:eastAsia="方正仿宋_GB2312" w:cs="方正仿宋_GB2312"/>
          <w:b/>
          <w:sz w:val="32"/>
          <w:szCs w:val="32"/>
        </w:rPr>
        <w:t xml:space="preserve"> </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投标文件附件清单</w:t>
      </w:r>
      <w:bookmarkEnd w:id="35"/>
    </w:p>
    <w:p w14:paraId="5C126780">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营业执照、资质证书复印件（加盖公章）</w:t>
      </w:r>
    </w:p>
    <w:p w14:paraId="3432301A">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近</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年同类项目业绩合同、验收证明等佐证资料</w:t>
      </w:r>
    </w:p>
    <w:p w14:paraId="316345D3">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项目负责人及技术团队人员职称、资格证书、社保证明</w:t>
      </w:r>
    </w:p>
    <w:p w14:paraId="0F5246EF">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投入本项目仪器设备清单、检定证书</w:t>
      </w:r>
    </w:p>
    <w:p w14:paraId="7A710F99">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5. </w:t>
      </w:r>
      <w:r>
        <w:rPr>
          <w:rFonts w:hint="eastAsia" w:ascii="方正仿宋_GB2312" w:hAnsi="方正仿宋_GB2312" w:eastAsia="方正仿宋_GB2312" w:cs="方正仿宋_GB2312"/>
          <w:sz w:val="32"/>
          <w:szCs w:val="32"/>
          <w:lang w:val="en-US" w:eastAsia="zh-CN"/>
        </w:rPr>
        <w:t>投标函</w:t>
      </w:r>
    </w:p>
    <w:p w14:paraId="0A0CA281">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.投标分项报价明细表</w:t>
      </w:r>
    </w:p>
    <w:p w14:paraId="76673FB7">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法定代表人身份证明</w:t>
      </w:r>
    </w:p>
    <w:p w14:paraId="07FBB52F">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投标人法定代表人授权书</w:t>
      </w:r>
    </w:p>
    <w:p w14:paraId="0B405134">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9.廉政承诺书</w:t>
      </w:r>
    </w:p>
    <w:p w14:paraId="557125BF">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企业信誉、无违规承诺及相关证明材料</w:t>
      </w:r>
    </w:p>
    <w:p w14:paraId="5E2F0CD2">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 服务保障、应急响应、本地化服务承诺文件</w:t>
      </w:r>
      <w:r>
        <w:rPr>
          <w:rFonts w:hint="eastAsia" w:ascii="方正仿宋_GB2312" w:hAnsi="方正仿宋_GB2312" w:eastAsia="方正仿宋_GB2312" w:cs="方正仿宋_GB2312"/>
          <w:sz w:val="32"/>
          <w:szCs w:val="32"/>
          <w:lang w:val="en-US" w:eastAsia="zh-CN"/>
        </w:rPr>
        <w:t xml:space="preserve"> </w:t>
      </w:r>
    </w:p>
    <w:p w14:paraId="4923D2EE">
      <w:pPr>
        <w:keepNext w:val="0"/>
        <w:keepLines w:val="0"/>
        <w:pageBreakBefore w:val="0"/>
        <w:widowControl w:val="0"/>
        <w:kinsoku/>
        <w:wordWrap/>
        <w:overflowPunct/>
        <w:topLinePunct w:val="0"/>
        <w:autoSpaceDE/>
        <w:autoSpaceDN/>
        <w:bidi w:val="0"/>
        <w:spacing w:before="120" w:after="120" w:line="500" w:lineRule="exact"/>
        <w:ind w:left="0"/>
        <w:jc w:val="left"/>
        <w:textAlignment w:val="auto"/>
        <w:rPr>
          <w:rFonts w:hint="eastAsia" w:ascii="方正仿宋_GB2312" w:hAnsi="方正仿宋_GB2312" w:eastAsia="方正仿宋_GB2312" w:cs="方正仿宋_GB2312"/>
          <w:sz w:val="32"/>
          <w:szCs w:val="32"/>
        </w:rPr>
      </w:pPr>
    </w:p>
    <w:sectPr>
      <w:headerReference r:id="rId8" w:type="default"/>
      <w:footerReference r:id="rId9"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5C2FB9-C70B-48F7-9CD9-2EA7C00C49A3}"/>
  </w:font>
  <w:font w:name="黑体">
    <w:panose1 w:val="02010609060101010101"/>
    <w:charset w:val="86"/>
    <w:family w:val="auto"/>
    <w:pitch w:val="default"/>
    <w:sig w:usb0="800002BF" w:usb1="38CF7CFA" w:usb2="00000016" w:usb3="00000000" w:csb0="00040001" w:csb1="00000000"/>
    <w:embedRegular r:id="rId2" w:fontKey="{9B703F47-2054-491A-9B18-5664DB9B78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5E759B3C-A56D-4589-9830-613ED09D9B24}"/>
  </w:font>
  <w:font w:name="楷体_GB2312">
    <w:altName w:val="楷体"/>
    <w:panose1 w:val="02010609030101010101"/>
    <w:charset w:val="86"/>
    <w:family w:val="auto"/>
    <w:pitch w:val="default"/>
    <w:sig w:usb0="00000000" w:usb1="00000000" w:usb2="00000000" w:usb3="00000000" w:csb0="00040000" w:csb1="00000000"/>
    <w:embedRegular r:id="rId4" w:fontKey="{6FAF1225-C2EE-4852-A612-C61064E571F5}"/>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F0257E96-C6D8-4B11-9C1E-0C0C91AC4717}"/>
  </w:font>
  <w:font w:name="方正仿宋_GB2312">
    <w:panose1 w:val="02000000000000000000"/>
    <w:charset w:val="86"/>
    <w:family w:val="auto"/>
    <w:pitch w:val="default"/>
    <w:sig w:usb0="A00002BF" w:usb1="184F6CFA" w:usb2="00000012" w:usb3="00000000" w:csb0="00040001" w:csb1="00000000"/>
    <w:embedRegular r:id="rId6" w:fontKey="{D1188180-A964-45FC-BD8C-E57C4FE7492C}"/>
  </w:font>
  <w:font w:name="仿宋">
    <w:panose1 w:val="02010609060101010101"/>
    <w:charset w:val="86"/>
    <w:family w:val="modern"/>
    <w:pitch w:val="default"/>
    <w:sig w:usb0="800002BF" w:usb1="38CF7CFA" w:usb2="00000016" w:usb3="00000000" w:csb0="00040001" w:csb1="00000000"/>
    <w:embedRegular r:id="rId7" w:fontKey="{02ADB548-C399-4B5F-B9D5-B9EB4CCDF24D}"/>
  </w:font>
  <w:font w:name="仿宋_GB2312">
    <w:altName w:val="仿宋"/>
    <w:panose1 w:val="00000000000000000000"/>
    <w:charset w:val="86"/>
    <w:family w:val="modern"/>
    <w:pitch w:val="default"/>
    <w:sig w:usb0="00000000" w:usb1="00000000" w:usb2="00000010" w:usb3="00000000" w:csb0="00040000" w:csb1="00000000"/>
    <w:embedRegular r:id="rId8" w:fontKey="{1CC40588-14E3-4696-8855-B9C14339B6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3220">
    <w:pPr>
      <w:widowControl w:val="0"/>
      <w:snapToGrid w:val="0"/>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897245" cy="0"/>
              <wp:effectExtent l="0" t="4445" r="8255" b="5080"/>
              <wp:wrapNone/>
              <wp:docPr id="2" name="直接连接符 2"/>
              <wp:cNvGraphicFramePr/>
              <a:graphic xmlns:a="http://schemas.openxmlformats.org/drawingml/2006/main">
                <a:graphicData uri="http://schemas.microsoft.com/office/word/2010/wordprocessingShape">
                  <wps:wsp>
                    <wps:cNvCnPr/>
                    <wps:spPr>
                      <a:xfrm>
                        <a:off x="0" y="0"/>
                        <a:ext cx="58972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55pt;height:0pt;width:464.35pt;z-index:251659264;mso-width-relative:page;mso-height-relative:page;" filled="f" stroked="t" coordsize="21600,21600" o:gfxdata="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Kpuj1AAAAAYBAAAPAAAAAAAAAAEAIAAAACIAAABkcnMvZG93bnJldi54bWxQSwECFAAU&#10;AAAACACHTuJAaVUSp/UBAADkAwAADgAAAAAAAAABACAAAAAj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eastAsia="宋体" w:cs="Times New Roman"/>
        <w:kern w:val="0"/>
        <w:sz w:val="21"/>
        <w:szCs w:val="21"/>
        <w:lang w:val="en-US" w:eastAsia="zh-CN" w:bidi="ar-SA"/>
      </w:rPr>
      <w:t>第</w:t>
    </w:r>
    <w:r>
      <w:rPr>
        <w:rFonts w:ascii="Times New Roman" w:hAnsi="Times New Roman" w:eastAsia="宋体" w:cs="Times New Roman"/>
        <w:kern w:val="0"/>
        <w:sz w:val="21"/>
        <w:szCs w:val="21"/>
        <w:lang w:val="en-US" w:eastAsia="zh-CN" w:bidi="ar-SA"/>
      </w:rPr>
      <w:fldChar w:fldCharType="begin"/>
    </w:r>
    <w:r>
      <w:rPr>
        <w:rFonts w:ascii="Times New Roman" w:hAnsi="Times New Roman" w:eastAsia="宋体" w:cs="Times New Roman"/>
        <w:kern w:val="0"/>
        <w:sz w:val="21"/>
        <w:szCs w:val="21"/>
        <w:lang w:val="en-US" w:eastAsia="zh-CN" w:bidi="ar-SA"/>
      </w:rPr>
      <w:instrText xml:space="preserve"> PAGE </w:instrText>
    </w:r>
    <w:r>
      <w:rPr>
        <w:rFonts w:ascii="Times New Roman" w:hAnsi="Times New Roman" w:eastAsia="宋体" w:cs="Times New Roman"/>
        <w:kern w:val="0"/>
        <w:sz w:val="21"/>
        <w:szCs w:val="21"/>
        <w:lang w:val="en-US" w:eastAsia="zh-CN" w:bidi="ar-SA"/>
      </w:rPr>
      <w:fldChar w:fldCharType="separate"/>
    </w:r>
    <w:r>
      <w:rPr>
        <w:rFonts w:ascii="Times New Roman" w:hAnsi="Times New Roman" w:eastAsia="宋体" w:cs="Times New Roman"/>
        <w:kern w:val="0"/>
        <w:sz w:val="21"/>
        <w:szCs w:val="21"/>
        <w:lang w:val="en-US" w:eastAsia="zh-CN" w:bidi="ar-SA"/>
      </w:rPr>
      <w:t>5</w:t>
    </w:r>
    <w:r>
      <w:rPr>
        <w:rFonts w:ascii="Times New Roman" w:hAnsi="Times New Roman" w:eastAsia="宋体" w:cs="Times New Roman"/>
        <w:kern w:val="0"/>
        <w:sz w:val="21"/>
        <w:szCs w:val="21"/>
        <w:lang w:val="en-US" w:eastAsia="zh-CN" w:bidi="ar-SA"/>
      </w:rPr>
      <w:fldChar w:fldCharType="end"/>
    </w:r>
    <w:r>
      <w:rPr>
        <w:rFonts w:hint="eastAsia" w:ascii="Times New Roman" w:hAnsi="Times New Roman" w:eastAsia="宋体" w:cs="Times New Roman"/>
        <w:kern w:val="0"/>
        <w:sz w:val="21"/>
        <w:szCs w:val="21"/>
        <w:lang w:val="en-US" w:eastAsia="zh-CN" w:bidi="ar-SA"/>
      </w:rPr>
      <w:t>页共6页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C8BC">
    <w:pPr>
      <w:framePr w:wrap="around" w:vAnchor="text" w:hAnchor="margin" w:xAlign="right" w:y="1"/>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20"/>
        <w:lang w:val="en-US" w:eastAsia="zh-CN" w:bidi="ar-SA"/>
      </w:rPr>
      <w:fldChar w:fldCharType="end"/>
    </w:r>
  </w:p>
  <w:p w14:paraId="2205870D">
    <w:pPr>
      <w:widowControl w:val="0"/>
      <w:snapToGrid w:val="0"/>
      <w:ind w:right="360"/>
      <w:jc w:val="left"/>
      <w:rPr>
        <w:rFonts w:ascii="Times New Roman" w:hAnsi="Times New Roman" w:eastAsia="宋体" w:cs="Times New Roman"/>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BC8A">
    <w:pPr>
      <w:widowControl w:val="0"/>
      <w:snapToGrid w:val="0"/>
      <w:ind w:right="360"/>
      <w:jc w:val="left"/>
      <w:rPr>
        <w:rFonts w:ascii="Times New Roman" w:hAnsi="Times New Roman" w:eastAsia="宋体" w:cs="Times New Roman"/>
        <w:kern w:val="2"/>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9D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33BB">
    <w:pPr>
      <w:widowControl w:val="0"/>
      <w:pBdr>
        <w:bottom w:val="single" w:color="auto" w:sz="6" w:space="1"/>
      </w:pBdr>
      <w:snapToGrid w:val="0"/>
      <w:jc w:val="center"/>
      <w:rPr>
        <w:rFonts w:ascii="Times New Roman" w:hAnsi="Times New Roman" w:eastAsia="宋体" w:cs="Times New Roman"/>
        <w:kern w:val="2"/>
        <w:sz w:val="18"/>
        <w:szCs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8D79">
    <w:pPr>
      <w:widowControl w:val="0"/>
      <w:pBdr>
        <w:bottom w:val="none" w:color="auto" w:sz="0" w:space="1"/>
      </w:pBdr>
      <w:snapToGrid w:val="0"/>
      <w:jc w:val="center"/>
      <w:rPr>
        <w:rFonts w:ascii="Times New Roman" w:hAnsi="Times New Roman" w:eastAsia="宋体" w:cs="Times New Roman"/>
        <w:kern w:val="2"/>
        <w:sz w:val="18"/>
        <w:szCs w:val="20"/>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72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747DD"/>
    <w:rsid w:val="174E24D8"/>
    <w:rsid w:val="17E55618"/>
    <w:rsid w:val="18480EF1"/>
    <w:rsid w:val="24F1163A"/>
    <w:rsid w:val="288A6ECB"/>
    <w:rsid w:val="2FAA2B11"/>
    <w:rsid w:val="348E6F25"/>
    <w:rsid w:val="38A10B77"/>
    <w:rsid w:val="3B961F82"/>
    <w:rsid w:val="3CB37D57"/>
    <w:rsid w:val="45DE4F8C"/>
    <w:rsid w:val="47E15039"/>
    <w:rsid w:val="4E6F6FA8"/>
    <w:rsid w:val="4F311D80"/>
    <w:rsid w:val="55573A70"/>
    <w:rsid w:val="608379AB"/>
    <w:rsid w:val="65357244"/>
    <w:rsid w:val="678340CB"/>
    <w:rsid w:val="69257BF3"/>
    <w:rsid w:val="6B4D2647"/>
    <w:rsid w:val="6E8468DA"/>
    <w:rsid w:val="744E174B"/>
    <w:rsid w:val="75115449"/>
    <w:rsid w:val="789976F0"/>
    <w:rsid w:val="78EC7EAA"/>
    <w:rsid w:val="7AC35E02"/>
    <w:rsid w:val="7BA4617E"/>
    <w:rsid w:val="7E2D0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3">
    <w:name w:val="Plain Text"/>
    <w:basedOn w:val="1"/>
    <w:qFormat/>
    <w:uiPriority w:val="0"/>
    <w:pPr>
      <w:widowControl w:val="0"/>
      <w:jc w:val="both"/>
    </w:pPr>
    <w:rPr>
      <w:rFonts w:ascii="宋体" w:hAnsi="Courier New" w:eastAsia="宋体" w:cs="黑体"/>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20"/>
      <w:lang w:val="en-US" w:eastAsia="zh-CN" w:bidi="ar-SA"/>
    </w:rPr>
  </w:style>
  <w:style w:type="paragraph" w:styleId="6">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paragraph" w:customStyle="1" w:styleId="1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样式 WG标题3居中 + 行距: 固定值 18 磅"/>
    <w:qFormat/>
    <w:uiPriority w:val="0"/>
    <w:pPr>
      <w:widowControl w:val="0"/>
      <w:spacing w:before="100" w:beforeAutospacing="1" w:after="100" w:afterAutospacing="1" w:line="360" w:lineRule="exact"/>
      <w:jc w:val="center"/>
      <w:outlineLvl w:val="2"/>
    </w:pPr>
    <w:rPr>
      <w:rFonts w:ascii="Times New Roman" w:hAnsi="Times New Roman" w:eastAsia="宋体" w:cs="宋体"/>
      <w:b/>
      <w:bCs/>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6123</Words>
  <Characters>6492</Characters>
  <TotalTime>5</TotalTime>
  <ScaleCrop>false</ScaleCrop>
  <LinksUpToDate>false</LinksUpToDate>
  <CharactersWithSpaces>6811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2026-05-22T02:32:00Z</dcterms:created>
  <dc:creator>Apache POI</dc:creator>
  <cp:lastModifiedBy>轻描淡写、</cp:lastModifiedBy>
  <dcterms:modified xsi:type="dcterms:W3CDTF">2026-07-03T08:11:33Z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eyJoZGlkIjoiMzEwNTM5NzYwMDRjMzkwZTVkZjY2ODkwMGIxNGU0OTUiLCJ1c2VySWQiOiI1MTU2NDEwMjIifQ==</vt:lpwstr>
  </property>
  <property fmtid="{D5CDD505-2E9C-101B-9397-08002B2CF9AE}" pid="3" name="KSOProductBuildVer">
    <vt:lpwstr>2052-12.1.0.26895</vt:lpwstr>
  </property>
  <property fmtid="{D5CDD505-2E9C-101B-9397-08002B2CF9AE}" pid="4" name="ICV">
    <vt:lpwstr>C5DFBA84CAB14E24A89AA1AD737C1AD3_13</vt:lpwstr>
  </property>
</Properties>
</file>