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FA450F">
      <w:pPr>
        <w:spacing w:line="500" w:lineRule="exact"/>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招标文件</w:t>
      </w:r>
    </w:p>
    <w:p w14:paraId="6206A56E">
      <w:pPr>
        <w:spacing w:line="500" w:lineRule="exact"/>
        <w:jc w:val="center"/>
        <w:rPr>
          <w:rFonts w:hint="eastAsia" w:asciiTheme="minorEastAsia" w:hAnsiTheme="minorEastAsia" w:eastAsiaTheme="minorEastAsia"/>
          <w:b/>
          <w:bCs/>
          <w:sz w:val="44"/>
          <w:szCs w:val="44"/>
        </w:rPr>
      </w:pPr>
    </w:p>
    <w:p w14:paraId="448B19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各相关单位：</w:t>
      </w:r>
    </w:p>
    <w:p w14:paraId="249D8D3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万基控股集团有限公司</w:t>
      </w:r>
      <w:r>
        <w:rPr>
          <w:rFonts w:hint="eastAsia" w:ascii="仿宋" w:hAnsi="仿宋" w:eastAsia="仿宋" w:cs="仿宋"/>
          <w:sz w:val="32"/>
          <w:szCs w:val="32"/>
          <w:lang w:val="en-US" w:eastAsia="zh-CN"/>
        </w:rPr>
        <w:t>经营管理部招标办</w:t>
      </w:r>
      <w:r>
        <w:rPr>
          <w:rFonts w:hint="eastAsia" w:ascii="仿宋" w:hAnsi="仿宋" w:eastAsia="仿宋" w:cs="仿宋"/>
          <w:sz w:val="32"/>
          <w:szCs w:val="32"/>
        </w:rPr>
        <w:t>拟对</w:t>
      </w:r>
      <w:r>
        <w:rPr>
          <w:rFonts w:hint="eastAsia" w:ascii="仿宋" w:hAnsi="仿宋" w:eastAsia="仿宋" w:cs="仿宋"/>
          <w:sz w:val="32"/>
          <w:szCs w:val="32"/>
          <w:lang w:val="en-US" w:eastAsia="zh-CN"/>
        </w:rPr>
        <w:t>万基铝加工铸轧厂保温炉提升式炉门驱动改造项目【招标编号：WJWZ-(2026)07002】进行公开招标，望拟投标单位在规定时间内投标。投标人在本次投标中若发现违规违纪问题可直接向招标单位纪委举报，举报电话：</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0379-67333039。 </w:t>
      </w:r>
    </w:p>
    <w:p w14:paraId="08117C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开标时间：2026年7月17日10:00（北京时间）</w:t>
      </w:r>
    </w:p>
    <w:p w14:paraId="396EB06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开标地点：洛阳市新安县产业集聚区万基大厦四楼开标室</w:t>
      </w:r>
    </w:p>
    <w:p w14:paraId="601F329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资质审验及报名截止时间：2026年7月16日18时前</w:t>
      </w:r>
    </w:p>
    <w:p w14:paraId="27D74BE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招标联系人：李  煜 13939930992  </w:t>
      </w:r>
    </w:p>
    <w:p w14:paraId="5E86B2C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技术联系人：郭永强 13838408407</w:t>
      </w:r>
    </w:p>
    <w:p w14:paraId="1EC65D4F">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一、投标须知</w:t>
      </w:r>
    </w:p>
    <w:p w14:paraId="49A06A7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标的物：万基铝加工铸轧厂保温炉提升式炉门驱动改造项目。</w:t>
      </w:r>
    </w:p>
    <w:p w14:paraId="6D9747C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招标方式：公开招标。本次招标采用一次性报价、现场开标的方式开标。</w:t>
      </w:r>
    </w:p>
    <w:p w14:paraId="4E85F6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投标人应编制投标文件正本1份</w:t>
      </w:r>
      <w:r>
        <w:rPr>
          <w:rFonts w:hint="eastAsia" w:ascii="仿宋" w:hAnsi="仿宋" w:eastAsia="仿宋" w:cs="仿宋"/>
          <w:sz w:val="32"/>
          <w:szCs w:val="32"/>
          <w:lang w:val="en-US" w:eastAsia="zh-CN"/>
        </w:rPr>
        <w:t>+</w:t>
      </w:r>
      <w:r>
        <w:rPr>
          <w:rFonts w:hint="eastAsia" w:ascii="仿宋" w:hAnsi="仿宋" w:eastAsia="仿宋" w:cs="仿宋"/>
          <w:sz w:val="32"/>
          <w:szCs w:val="32"/>
        </w:rPr>
        <w:t>副本</w:t>
      </w:r>
      <w:r>
        <w:rPr>
          <w:rFonts w:hint="eastAsia" w:ascii="仿宋" w:hAnsi="仿宋" w:eastAsia="仿宋" w:cs="仿宋"/>
          <w:sz w:val="32"/>
          <w:szCs w:val="32"/>
          <w:lang w:val="en-US" w:eastAsia="zh-CN"/>
        </w:rPr>
        <w:t>2</w:t>
      </w:r>
      <w:r>
        <w:rPr>
          <w:rFonts w:hint="eastAsia" w:ascii="仿宋" w:hAnsi="仿宋" w:eastAsia="仿宋" w:cs="仿宋"/>
          <w:sz w:val="32"/>
          <w:szCs w:val="32"/>
        </w:rPr>
        <w:t>份</w:t>
      </w:r>
      <w:r>
        <w:rPr>
          <w:rFonts w:hint="eastAsia" w:ascii="仿宋" w:hAnsi="仿宋" w:eastAsia="仿宋" w:cs="仿宋"/>
          <w:sz w:val="32"/>
          <w:szCs w:val="32"/>
          <w:lang w:val="en-US" w:eastAsia="zh-CN"/>
        </w:rPr>
        <w:t>+电子1份</w:t>
      </w:r>
      <w:r>
        <w:rPr>
          <w:rFonts w:hint="eastAsia" w:ascii="仿宋" w:hAnsi="仿宋" w:eastAsia="仿宋" w:cs="仿宋"/>
          <w:sz w:val="32"/>
          <w:szCs w:val="32"/>
        </w:rPr>
        <w:t>，每套投标文件须清楚地标明“正本”或“副本”。若正本和副本不符，以正本为准。详细分项报价做入标书商务卷，投标报价单（见附件）请单独密封，便于唱标。</w:t>
      </w:r>
    </w:p>
    <w:p w14:paraId="6B3B6B3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、资质要求：</w:t>
      </w:r>
    </w:p>
    <w:p w14:paraId="25519C1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1）投标单位必须是在中华人民共和国境内注册具有独立承担民事责任能力的法人或其他组织，具有标的物</w:t>
      </w:r>
      <w:r>
        <w:rPr>
          <w:rFonts w:hint="eastAsia" w:ascii="仿宋" w:hAnsi="仿宋" w:eastAsia="仿宋" w:cs="仿宋"/>
          <w:sz w:val="32"/>
          <w:szCs w:val="32"/>
          <w:lang w:val="en-US" w:eastAsia="zh-CN"/>
        </w:rPr>
        <w:t>相关</w:t>
      </w:r>
      <w:r>
        <w:rPr>
          <w:rFonts w:hint="eastAsia" w:ascii="仿宋" w:hAnsi="仿宋" w:eastAsia="仿宋" w:cs="仿宋"/>
          <w:sz w:val="32"/>
          <w:szCs w:val="32"/>
        </w:rPr>
        <w:t>经营资质及</w:t>
      </w:r>
      <w:r>
        <w:rPr>
          <w:rFonts w:hint="eastAsia" w:ascii="仿宋" w:hAnsi="仿宋" w:eastAsia="仿宋" w:cs="仿宋"/>
          <w:sz w:val="32"/>
          <w:szCs w:val="32"/>
          <w:lang w:val="en-US" w:eastAsia="zh-CN"/>
        </w:rPr>
        <w:t>制造等</w:t>
      </w:r>
      <w:r>
        <w:rPr>
          <w:rFonts w:hint="eastAsia" w:ascii="仿宋" w:hAnsi="仿宋" w:eastAsia="仿宋" w:cs="仿宋"/>
          <w:sz w:val="32"/>
          <w:szCs w:val="32"/>
        </w:rPr>
        <w:t>能力。</w:t>
      </w:r>
    </w:p>
    <w:p w14:paraId="2DA3856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良好的银行资信和商业信誉，没有处于被责令停业，财产被接管、冻结，破产状态；投标人在人员、技术、设备、资金方面具有完成本项目合同的能力。如果国家有强制性要求的资质文件，参标单位必须提供。</w:t>
      </w:r>
    </w:p>
    <w:p w14:paraId="7CD2D5E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3）投标</w:t>
      </w:r>
      <w:r>
        <w:rPr>
          <w:rFonts w:hint="eastAsia" w:ascii="仿宋" w:hAnsi="仿宋" w:eastAsia="仿宋" w:cs="仿宋"/>
          <w:color w:val="auto"/>
          <w:sz w:val="32"/>
          <w:szCs w:val="32"/>
          <w:lang w:val="en-US" w:eastAsia="zh-CN"/>
        </w:rPr>
        <w:t>单位需提供同类行业相近的业绩及有效的扫描件业绩合同（不少于三份）</w:t>
      </w:r>
      <w:r>
        <w:rPr>
          <w:rFonts w:hint="eastAsia" w:ascii="仿宋" w:hAnsi="仿宋" w:eastAsia="仿宋" w:cs="仿宋"/>
          <w:color w:val="auto"/>
          <w:sz w:val="32"/>
          <w:szCs w:val="32"/>
        </w:rPr>
        <w:t>。</w:t>
      </w:r>
    </w:p>
    <w:p w14:paraId="5116DF6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5、资质审查：</w:t>
      </w:r>
    </w:p>
    <w:p w14:paraId="422287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1）资格预审：</w:t>
      </w:r>
      <w:r>
        <w:rPr>
          <w:rFonts w:hint="eastAsia" w:ascii="仿宋" w:hAnsi="仿宋" w:eastAsia="仿宋" w:cs="仿宋"/>
          <w:b w:val="0"/>
          <w:bCs w:val="0"/>
          <w:color w:val="000000"/>
          <w:sz w:val="32"/>
          <w:szCs w:val="32"/>
          <w:lang w:val="en-US" w:eastAsia="zh-CN"/>
        </w:rPr>
        <w:t>新进供应商请在万基官网招采平台上注册为合格供应商，审核通过后才能正常参与万基招标及合同签订等业务。注册供应商如有疑问请联系招标人，审核结果以最终通过万基控股集团供应商管理库准入为准。已在库的供应商需提供3份相关业绩证明。资质预审截止日期：</w:t>
      </w:r>
      <w:r>
        <w:rPr>
          <w:rFonts w:hint="eastAsia" w:ascii="仿宋" w:hAnsi="仿宋" w:eastAsia="仿宋" w:cs="仿宋"/>
          <w:b w:val="0"/>
          <w:bCs w:val="0"/>
          <w:color w:val="000000" w:themeColor="text1"/>
          <w:sz w:val="32"/>
          <w:szCs w:val="32"/>
          <w:lang w:val="en-US" w:eastAsia="zh-CN"/>
          <w14:textFill>
            <w14:solidFill>
              <w14:schemeClr w14:val="tx1"/>
            </w14:solidFill>
          </w14:textFill>
        </w:rPr>
        <w:t>2026年7月16日18时前，逾期未审者不得参与本次招标；</w:t>
      </w:r>
    </w:p>
    <w:p w14:paraId="3109179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2）资格后审：即在评标过程中评标小组成员共同进行审查；</w:t>
      </w:r>
    </w:p>
    <w:p w14:paraId="4B65112E">
      <w:pPr>
        <w:keepNext w:val="0"/>
        <w:keepLines w:val="0"/>
        <w:pageBreakBefore w:val="0"/>
        <w:widowControl w:val="0"/>
        <w:kinsoku/>
        <w:wordWrap/>
        <w:overflowPunct/>
        <w:topLinePunct w:val="0"/>
        <w:autoSpaceDE/>
        <w:autoSpaceDN/>
        <w:bidi w:val="0"/>
        <w:adjustRightInd/>
        <w:snapToGrid/>
        <w:spacing w:before="62" w:beforeLines="20" w:after="62" w:afterLines="20"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6、</w:t>
      </w:r>
      <w:r>
        <w:rPr>
          <w:rFonts w:hint="eastAsia" w:ascii="仿宋" w:hAnsi="仿宋" w:eastAsia="仿宋" w:cs="仿宋"/>
          <w:sz w:val="32"/>
          <w:szCs w:val="32"/>
        </w:rPr>
        <w:t>投标保证金：各投标人在开标前须向业主单位现场财务缴纳投标保证金人民币</w:t>
      </w:r>
      <w:r>
        <w:rPr>
          <w:rFonts w:hint="eastAsia" w:ascii="仿宋" w:hAnsi="仿宋" w:eastAsia="仿宋" w:cs="仿宋"/>
          <w:sz w:val="32"/>
          <w:szCs w:val="32"/>
          <w:lang w:val="en-US" w:eastAsia="zh-CN"/>
        </w:rPr>
        <w:t>壹</w:t>
      </w:r>
      <w:r>
        <w:rPr>
          <w:rFonts w:hint="eastAsia" w:ascii="仿宋" w:hAnsi="仿宋" w:eastAsia="仿宋" w:cs="仿宋"/>
          <w:sz w:val="32"/>
          <w:szCs w:val="32"/>
        </w:rPr>
        <w:t>万元（￥</w:t>
      </w:r>
      <w:r>
        <w:rPr>
          <w:rFonts w:hint="eastAsia" w:ascii="仿宋" w:hAnsi="仿宋" w:eastAsia="仿宋" w:cs="仿宋"/>
          <w:sz w:val="32"/>
          <w:szCs w:val="32"/>
          <w:lang w:val="en-US" w:eastAsia="zh-CN"/>
        </w:rPr>
        <w:t>1</w:t>
      </w:r>
      <w:r>
        <w:rPr>
          <w:rFonts w:hint="eastAsia" w:ascii="仿宋" w:hAnsi="仿宋" w:eastAsia="仿宋" w:cs="仿宋"/>
          <w:sz w:val="32"/>
          <w:szCs w:val="32"/>
        </w:rPr>
        <w:t>0000元）整，（详细要求见招标文件第</w:t>
      </w:r>
      <w:r>
        <w:rPr>
          <w:rFonts w:hint="eastAsia" w:ascii="仿宋" w:hAnsi="仿宋" w:eastAsia="仿宋" w:cs="仿宋"/>
          <w:sz w:val="32"/>
          <w:szCs w:val="32"/>
          <w:lang w:val="en-US" w:eastAsia="zh-CN"/>
        </w:rPr>
        <w:t>八</w:t>
      </w:r>
      <w:r>
        <w:rPr>
          <w:rFonts w:hint="eastAsia" w:ascii="仿宋" w:hAnsi="仿宋" w:eastAsia="仿宋" w:cs="仿宋"/>
          <w:sz w:val="32"/>
          <w:szCs w:val="32"/>
        </w:rPr>
        <w:t>部分）；</w:t>
      </w:r>
    </w:p>
    <w:p w14:paraId="2B6999D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7、违约：认真阅读招标文件、合同条款、技术条件，参与投标即视同完全响应（差异表所列内容除外）。中标单位必须严格按照投标文件及投标报价单(价格、付款方式)签订合同及技术协议，否则即为违约；</w:t>
      </w:r>
    </w:p>
    <w:p w14:paraId="1FC87A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8、评标办法：各投标单位在都能满足招标文件及技术要求需求的情况下，综合评分高者优先列为中标单位，报价有效期不低于180天；</w:t>
      </w:r>
    </w:p>
    <w:p w14:paraId="56CE61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9、供货范围：详见技术要求（附件5）；</w:t>
      </w:r>
    </w:p>
    <w:p w14:paraId="445029A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10、解决招标纠纷的方式：双方友好协商；协商不成，提交招标方所在地有管辖权的人民法院裁决。</w:t>
      </w:r>
    </w:p>
    <w:p w14:paraId="22FF7F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二、投标文件</w:t>
      </w:r>
    </w:p>
    <w:p w14:paraId="4A2E5C9A">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 、投标文件的组成</w:t>
      </w:r>
    </w:p>
    <w:p w14:paraId="6BF5675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 投标文件由三卷组成：</w:t>
      </w:r>
    </w:p>
    <w:p w14:paraId="5FF1830E">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第一卷为商务部分，包括以下内容：</w:t>
      </w:r>
    </w:p>
    <w:p w14:paraId="3D9F954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1）投标人廉政承诺书，详见附件1；</w:t>
      </w:r>
    </w:p>
    <w:p w14:paraId="05356EC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2）投标人承诺函，详见附件2；</w:t>
      </w:r>
    </w:p>
    <w:p w14:paraId="0161F6E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3）投标人法定代表人授权书，法定代表人必须签字签章，详见附件3；</w:t>
      </w:r>
    </w:p>
    <w:p w14:paraId="15954C2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4）投标人资格、资信证明文件，其中包括：</w:t>
      </w:r>
    </w:p>
    <w:p w14:paraId="137DE56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I.关于投标人资格的声明函；</w:t>
      </w:r>
    </w:p>
    <w:p w14:paraId="1C80466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II.企业法人营业执照（复印件加盖企业红章）；</w:t>
      </w:r>
    </w:p>
    <w:p w14:paraId="2795807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III.安全生产许可证等有关鉴定材料、资质文件；</w:t>
      </w:r>
    </w:p>
    <w:p w14:paraId="67EB231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IV.质量保证体系及其质量认证证明；</w:t>
      </w:r>
    </w:p>
    <w:p w14:paraId="3104DBB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V. 业绩及目前正在执行合同情况；</w:t>
      </w:r>
    </w:p>
    <w:p w14:paraId="0E8D824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VI. 其它文件和资料。</w:t>
      </w:r>
    </w:p>
    <w:p w14:paraId="55E3FD9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5）企业、产品简介、分项详细报价等；</w:t>
      </w:r>
    </w:p>
    <w:p w14:paraId="145FA5B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6）异议回复（详见附件7）</w:t>
      </w:r>
    </w:p>
    <w:p w14:paraId="29EF0EC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第二卷为技术部分（按招标方技术</w:t>
      </w:r>
      <w:r>
        <w:rPr>
          <w:rFonts w:hint="eastAsia" w:ascii="仿宋" w:hAnsi="仿宋" w:eastAsia="仿宋" w:cs="仿宋"/>
          <w:b/>
          <w:bCs/>
          <w:sz w:val="32"/>
          <w:szCs w:val="32"/>
          <w:lang w:val="en-US" w:eastAsia="zh-CN"/>
        </w:rPr>
        <w:t>要求</w:t>
      </w:r>
      <w:r>
        <w:rPr>
          <w:rFonts w:hint="eastAsia" w:ascii="仿宋" w:hAnsi="仿宋" w:eastAsia="仿宋" w:cs="仿宋"/>
          <w:b/>
          <w:bCs/>
          <w:sz w:val="32"/>
          <w:szCs w:val="32"/>
        </w:rPr>
        <w:t>做相应说明）；</w:t>
      </w:r>
    </w:p>
    <w:p w14:paraId="3EF860DA">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第三卷为售后、技术服务和设计联络部分</w:t>
      </w:r>
    </w:p>
    <w:p w14:paraId="039C2D2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投标人所作的一切有效补充、修改文件，均被视为投标文件不可分割的部分。</w:t>
      </w:r>
    </w:p>
    <w:p w14:paraId="5B1B74EE">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 投标文件的编制</w:t>
      </w:r>
    </w:p>
    <w:p w14:paraId="6B0EC29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 一般要求</w:t>
      </w:r>
    </w:p>
    <w:p w14:paraId="1177630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7572267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 投标有效期</w:t>
      </w:r>
    </w:p>
    <w:p w14:paraId="5330F6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投标文件从开标之日起，投标有效期为180天。</w:t>
      </w:r>
    </w:p>
    <w:p w14:paraId="621CA03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 投标人建议</w:t>
      </w:r>
    </w:p>
    <w:p w14:paraId="1A2ED2D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投标人可提出补充建议或说明，提出比招标文件的要求更为合理的建议方案，列于附件中。同时应说明对技术条件、价格、运行、维护、检修、安装等方面的影响。</w:t>
      </w:r>
    </w:p>
    <w:p w14:paraId="23D006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 投标文件的份数和签署</w:t>
      </w:r>
    </w:p>
    <w:p w14:paraId="4AB6AE9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2.4.1投标文件一式三份，正本一份，副本二份。</w:t>
      </w:r>
    </w:p>
    <w:p w14:paraId="5CB1BBE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2.4.2 投标文件正本的每一页均应由投标人代表签字。报价表均应由投标人代表签名并加盖公章。</w:t>
      </w:r>
    </w:p>
    <w:p w14:paraId="65D2B25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 投标报价（详见附件4）</w:t>
      </w:r>
    </w:p>
    <w:p w14:paraId="2698FB3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3.1 投标人应严格按照招标方投标报价单格式认真填写投标报价，对照技术要求列出各种分项价格表（分项报价列入商务卷）。</w:t>
      </w:r>
    </w:p>
    <w:p w14:paraId="1029E2D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3.2 投标人的报价在中标后在合同有效期内价格固定不变</w:t>
      </w:r>
      <w:r>
        <w:rPr>
          <w:rFonts w:hint="eastAsia" w:ascii="仿宋" w:hAnsi="仿宋" w:eastAsia="仿宋" w:cs="仿宋"/>
          <w:sz w:val="32"/>
          <w:szCs w:val="32"/>
          <w:lang w:val="en-US" w:eastAsia="zh-CN"/>
        </w:rPr>
        <w:t>。</w:t>
      </w:r>
    </w:p>
    <w:p w14:paraId="3F8F091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3.4 投标报价应注明有效期，有效期应与投标有效期相一致。</w:t>
      </w:r>
    </w:p>
    <w:p w14:paraId="7D169BE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 投标文件的递交</w:t>
      </w:r>
    </w:p>
    <w:p w14:paraId="1A9574B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 投标文件的密封与标记</w:t>
      </w:r>
    </w:p>
    <w:p w14:paraId="458312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4.1.1 投标文件的正本和副本应分别密封，封套上注明项目名称、设备名称</w:t>
      </w:r>
      <w:r>
        <w:rPr>
          <w:rFonts w:hint="eastAsia" w:ascii="仿宋" w:hAnsi="仿宋" w:eastAsia="仿宋" w:cs="仿宋"/>
          <w:b w:val="0"/>
          <w:bCs w:val="0"/>
          <w:color w:val="000000" w:themeColor="text1"/>
          <w:sz w:val="32"/>
          <w:szCs w:val="32"/>
          <w:lang w:val="en-US" w:eastAsia="zh-CN"/>
          <w14:textFill>
            <w14:solidFill>
              <w14:schemeClr w14:val="tx1"/>
            </w14:solidFill>
          </w14:textFill>
        </w:rPr>
        <w:t>、投标人名址、“正本”“副本”字样及“2026年7月17日10时（北京时间）之前不得启封”字样。</w:t>
      </w:r>
    </w:p>
    <w:p w14:paraId="489803E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4.1.2为便于开标唱标，投标人应将《投标报价单》另用信封单独密封，与投标文件一同提交，并在封面上注明项目名称、投标人名字、“投标报价表”字样及“2026年7月17日10时（北京时间）之前不得启封”字样。</w:t>
      </w:r>
    </w:p>
    <w:p w14:paraId="59C513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4.1.3所有密封封口处均应加盖投标人公章或密封章。</w:t>
      </w:r>
    </w:p>
    <w:p w14:paraId="75793C1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 投标人必须向招标人提供投标文件及图纸、技术资料的电子版一份，密封于投标文件正本中。</w:t>
      </w:r>
    </w:p>
    <w:p w14:paraId="58FF7DA9">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 无效投标：发生下列情况之一者，视为无效投标。</w:t>
      </w:r>
    </w:p>
    <w:p w14:paraId="1A92676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   商务评标过程中，有下列情形之一者，不予评标：</w:t>
      </w:r>
    </w:p>
    <w:p w14:paraId="5C0D0C4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5.1.1  投标人及其制造商与招标人、招标机构有利害关系的。</w:t>
      </w:r>
    </w:p>
    <w:p w14:paraId="6845315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5.1.2  投标人的投标书、资格证明未提供或不符合招标文件的要求。</w:t>
      </w:r>
    </w:p>
    <w:p w14:paraId="1B3F433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5.1.3  投标文件无法定代表人签字或签字人无法定代表人有效授权书的。</w:t>
      </w:r>
    </w:p>
    <w:p w14:paraId="7DF87D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5.1.4  投标人业绩不能满足招标文件的要求。</w:t>
      </w:r>
    </w:p>
    <w:p w14:paraId="79028B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5.1.5  投标文件符合招标文件中规定不予评标的其他商务条款。</w:t>
      </w:r>
    </w:p>
    <w:p w14:paraId="22A6465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   技术评标过程中，有下列情形之一者，不予评标：</w:t>
      </w:r>
    </w:p>
    <w:p w14:paraId="11238F6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5.2.1  投标文件不能满足招标文件技术规格中主要参数要求或主要参数无技术资料支持的。</w:t>
      </w:r>
    </w:p>
    <w:p w14:paraId="346462E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5.2.2  投标文件技术规格中一般参数超出允许偏离的最大范围或最高项数的。</w:t>
      </w:r>
    </w:p>
    <w:p w14:paraId="78408D0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5.2.3  投标文件技术规格中的响应与事实情况不符或虚假投标的。</w:t>
      </w:r>
    </w:p>
    <w:p w14:paraId="58F67F9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5.2.4  投标人复制招标文件的技术规格相关部分内容作为其投标文件中的一部分。</w:t>
      </w:r>
    </w:p>
    <w:p w14:paraId="20DE21F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5.2.5投标文件的澄清</w:t>
      </w:r>
    </w:p>
    <w:p w14:paraId="3A69A88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3492C2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p>
    <w:p w14:paraId="72FA057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三、评标办法</w:t>
      </w:r>
    </w:p>
    <w:p w14:paraId="155C7AF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1、本次评标采用综合评比、评分。评标小组依照本细则，对所有有效投标文件的评标价格、商务部分、技术部分进行审查、评比、评分。评标价格权重60%，商务部分权重10%，技术部分权重30%。</w:t>
      </w:r>
    </w:p>
    <w:p w14:paraId="6355932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2、评标小组全体成员对每个投标人进行审查、评比、评分，各投标单位在都能满足招标文件及甲方使用需求的情况下，综合评分高者为推荐中标单位。</w:t>
      </w:r>
    </w:p>
    <w:p w14:paraId="4EB259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3、评标活动中发现有争议的内容时，按照少数服从多数的原则，由评标小组确定。</w:t>
      </w:r>
    </w:p>
    <w:p w14:paraId="5B98297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4、经评标委员会全体认定低于成本价的投标，不予评标。其报价不作为评分依据。</w:t>
      </w:r>
    </w:p>
    <w:p w14:paraId="5684F21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5、评标人签字。 </w:t>
      </w:r>
    </w:p>
    <w:p w14:paraId="3C3DF1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p>
    <w:p w14:paraId="3192FA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评分标准</w:t>
      </w:r>
    </w:p>
    <w:p w14:paraId="49A253B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1、投标人综合得分=评标报价得分+商务部分得分＋技术部分得分。</w:t>
      </w:r>
    </w:p>
    <w:p w14:paraId="245EACA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p>
    <w:p w14:paraId="0D66457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2、各投标人的评标价格得分按以下公式计算：</w:t>
      </w:r>
    </w:p>
    <w:p w14:paraId="169FDFB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C＝60-10×（P-PMIN）/（PMAX-PMIN） </w:t>
      </w:r>
    </w:p>
    <w:p w14:paraId="023883F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C：投标人的评标价格得分。</w:t>
      </w:r>
    </w:p>
    <w:p w14:paraId="5F8371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P：评标价格。</w:t>
      </w:r>
    </w:p>
    <w:p w14:paraId="053BB13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PMIN：该项目中最低评标价格。</w:t>
      </w:r>
    </w:p>
    <w:p w14:paraId="0A1BCA7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PMAX：该项目中最高评标价格。</w:t>
      </w:r>
    </w:p>
    <w:p w14:paraId="1BE8AA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p>
    <w:p w14:paraId="048FD59D">
      <w:pPr>
        <w:jc w:val="center"/>
        <w:rPr>
          <w:rFonts w:hint="eastAsia" w:ascii="仿宋" w:hAnsi="仿宋" w:eastAsia="仿宋" w:cs="仿宋"/>
          <w:b/>
          <w:bCs/>
          <w:sz w:val="32"/>
          <w:szCs w:val="24"/>
        </w:rPr>
      </w:pPr>
    </w:p>
    <w:p w14:paraId="1F903D62">
      <w:pPr>
        <w:jc w:val="center"/>
        <w:rPr>
          <w:rFonts w:hint="eastAsia" w:ascii="仿宋" w:hAnsi="仿宋" w:eastAsia="仿宋" w:cs="仿宋"/>
          <w:b/>
          <w:bCs/>
          <w:sz w:val="32"/>
          <w:szCs w:val="24"/>
        </w:rPr>
      </w:pPr>
    </w:p>
    <w:p w14:paraId="6B339A45">
      <w:pPr>
        <w:jc w:val="center"/>
        <w:rPr>
          <w:rFonts w:hint="eastAsia" w:ascii="仿宋" w:hAnsi="仿宋" w:eastAsia="仿宋" w:cs="仿宋"/>
          <w:b/>
          <w:bCs/>
          <w:sz w:val="32"/>
          <w:szCs w:val="24"/>
        </w:rPr>
      </w:pPr>
    </w:p>
    <w:p w14:paraId="139210BE">
      <w:pPr>
        <w:jc w:val="center"/>
        <w:rPr>
          <w:rFonts w:hint="eastAsia" w:ascii="仿宋" w:hAnsi="仿宋" w:eastAsia="仿宋" w:cs="仿宋"/>
          <w:b/>
          <w:bCs/>
          <w:sz w:val="32"/>
          <w:szCs w:val="24"/>
        </w:rPr>
      </w:pPr>
    </w:p>
    <w:p w14:paraId="1527067F">
      <w:pPr>
        <w:jc w:val="center"/>
        <w:rPr>
          <w:rFonts w:hint="eastAsia" w:ascii="仿宋" w:hAnsi="仿宋" w:eastAsia="仿宋" w:cs="仿宋"/>
          <w:b/>
          <w:bCs/>
          <w:sz w:val="32"/>
          <w:szCs w:val="24"/>
        </w:rPr>
      </w:pPr>
    </w:p>
    <w:p w14:paraId="2BB82288">
      <w:pPr>
        <w:jc w:val="center"/>
        <w:rPr>
          <w:rFonts w:hint="eastAsia" w:ascii="仿宋" w:hAnsi="仿宋" w:eastAsia="仿宋" w:cs="仿宋"/>
          <w:b/>
          <w:bCs/>
          <w:sz w:val="32"/>
          <w:szCs w:val="24"/>
        </w:rPr>
      </w:pPr>
    </w:p>
    <w:p w14:paraId="4421354D">
      <w:pPr>
        <w:jc w:val="center"/>
        <w:rPr>
          <w:rFonts w:hint="eastAsia" w:ascii="仿宋" w:hAnsi="仿宋" w:eastAsia="仿宋" w:cs="仿宋"/>
          <w:b/>
          <w:bCs/>
          <w:sz w:val="32"/>
          <w:szCs w:val="24"/>
        </w:rPr>
      </w:pPr>
    </w:p>
    <w:p w14:paraId="0FF08809">
      <w:pPr>
        <w:jc w:val="center"/>
        <w:rPr>
          <w:rFonts w:hint="eastAsia" w:ascii="仿宋" w:hAnsi="仿宋" w:eastAsia="仿宋" w:cs="仿宋"/>
          <w:b/>
          <w:bCs/>
          <w:sz w:val="32"/>
          <w:szCs w:val="24"/>
        </w:rPr>
      </w:pPr>
    </w:p>
    <w:p w14:paraId="42952009">
      <w:pPr>
        <w:jc w:val="center"/>
        <w:rPr>
          <w:rFonts w:hint="eastAsia" w:ascii="仿宋" w:hAnsi="仿宋" w:eastAsia="仿宋" w:cs="仿宋"/>
          <w:b/>
          <w:bCs/>
          <w:sz w:val="32"/>
          <w:szCs w:val="24"/>
        </w:rPr>
      </w:pPr>
    </w:p>
    <w:p w14:paraId="759D6908">
      <w:pPr>
        <w:jc w:val="both"/>
        <w:rPr>
          <w:rFonts w:hint="eastAsia" w:ascii="仿宋" w:hAnsi="仿宋" w:eastAsia="仿宋" w:cs="仿宋"/>
          <w:b/>
          <w:bCs/>
          <w:sz w:val="32"/>
          <w:szCs w:val="24"/>
        </w:rPr>
      </w:pPr>
    </w:p>
    <w:p w14:paraId="286DCA8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3、商务部分  10分</w:t>
      </w:r>
    </w:p>
    <w:p w14:paraId="215F4AED">
      <w:pPr>
        <w:jc w:val="center"/>
        <w:rPr>
          <w:rFonts w:hint="eastAsia" w:ascii="仿宋" w:hAnsi="仿宋" w:eastAsia="仿宋" w:cs="仿宋"/>
          <w:b/>
          <w:bCs/>
          <w:sz w:val="32"/>
          <w:szCs w:val="24"/>
          <w:lang w:eastAsia="zh-CN"/>
        </w:rPr>
      </w:pPr>
      <w:r>
        <w:rPr>
          <w:rFonts w:hint="eastAsia" w:ascii="仿宋" w:hAnsi="仿宋" w:eastAsia="仿宋" w:cs="仿宋"/>
          <w:b/>
          <w:bCs/>
          <w:sz w:val="32"/>
          <w:szCs w:val="24"/>
        </w:rPr>
        <w:t>商务部分评分表</w:t>
      </w:r>
      <w:r>
        <w:rPr>
          <w:rFonts w:hint="eastAsia" w:ascii="仿宋" w:hAnsi="仿宋" w:eastAsia="仿宋" w:cs="仿宋"/>
          <w:b/>
          <w:bCs/>
          <w:sz w:val="32"/>
          <w:szCs w:val="24"/>
          <w:lang w:eastAsia="zh-CN"/>
        </w:rPr>
        <w:t>（</w:t>
      </w:r>
      <w:r>
        <w:rPr>
          <w:rFonts w:hint="eastAsia" w:ascii="仿宋" w:hAnsi="仿宋" w:eastAsia="仿宋" w:cs="仿宋"/>
          <w:b/>
          <w:bCs/>
          <w:sz w:val="32"/>
          <w:szCs w:val="24"/>
          <w:lang w:val="en-US" w:eastAsia="zh-CN"/>
        </w:rPr>
        <w:t>10分</w:t>
      </w:r>
      <w:r>
        <w:rPr>
          <w:rFonts w:hint="eastAsia" w:ascii="仿宋" w:hAnsi="仿宋" w:eastAsia="仿宋" w:cs="仿宋"/>
          <w:b/>
          <w:bCs/>
          <w:sz w:val="32"/>
          <w:szCs w:val="24"/>
          <w:lang w:eastAsia="zh-CN"/>
        </w:rPr>
        <w:t>）</w:t>
      </w:r>
    </w:p>
    <w:p w14:paraId="7B4FCF01">
      <w:pPr>
        <w:jc w:val="center"/>
        <w:rPr>
          <w:rFonts w:hint="eastAsia" w:ascii="仿宋" w:hAnsi="仿宋" w:eastAsia="仿宋" w:cs="仿宋"/>
          <w:sz w:val="32"/>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576"/>
        <w:gridCol w:w="1200"/>
        <w:gridCol w:w="4767"/>
      </w:tblGrid>
      <w:tr w14:paraId="0A1D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954" w:type="dxa"/>
            <w:noWrap w:val="0"/>
            <w:vAlign w:val="center"/>
          </w:tcPr>
          <w:p w14:paraId="46F91900">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576" w:type="dxa"/>
            <w:noWrap w:val="0"/>
            <w:vAlign w:val="center"/>
          </w:tcPr>
          <w:p w14:paraId="0492555B">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200" w:type="dxa"/>
            <w:noWrap w:val="0"/>
            <w:vAlign w:val="center"/>
          </w:tcPr>
          <w:p w14:paraId="36B7EAEB">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767" w:type="dxa"/>
            <w:noWrap w:val="0"/>
            <w:vAlign w:val="center"/>
          </w:tcPr>
          <w:p w14:paraId="152F407E">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3BA1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exact"/>
          <w:jc w:val="center"/>
        </w:trPr>
        <w:tc>
          <w:tcPr>
            <w:tcW w:w="954" w:type="dxa"/>
            <w:noWrap w:val="0"/>
            <w:vAlign w:val="center"/>
          </w:tcPr>
          <w:p w14:paraId="44F00BBE">
            <w:pPr>
              <w:jc w:val="center"/>
              <w:rPr>
                <w:rFonts w:hint="eastAsia" w:ascii="仿宋" w:hAnsi="仿宋" w:eastAsia="仿宋" w:cs="仿宋"/>
                <w:szCs w:val="21"/>
              </w:rPr>
            </w:pPr>
            <w:r>
              <w:rPr>
                <w:rFonts w:hint="eastAsia" w:ascii="仿宋" w:hAnsi="仿宋" w:eastAsia="仿宋" w:cs="仿宋"/>
                <w:szCs w:val="21"/>
              </w:rPr>
              <w:t>1</w:t>
            </w:r>
          </w:p>
        </w:tc>
        <w:tc>
          <w:tcPr>
            <w:tcW w:w="1576" w:type="dxa"/>
            <w:noWrap w:val="0"/>
            <w:vAlign w:val="center"/>
          </w:tcPr>
          <w:p w14:paraId="784D9FC7">
            <w:pPr>
              <w:rPr>
                <w:rFonts w:hint="eastAsia" w:ascii="仿宋" w:hAnsi="仿宋" w:eastAsia="仿宋" w:cs="仿宋"/>
                <w:szCs w:val="21"/>
              </w:rPr>
            </w:pPr>
            <w:r>
              <w:rPr>
                <w:rFonts w:hint="eastAsia" w:ascii="仿宋" w:hAnsi="仿宋" w:eastAsia="仿宋" w:cs="仿宋"/>
                <w:szCs w:val="21"/>
              </w:rPr>
              <w:t>投标文件的完整性及响应情况（3分）</w:t>
            </w:r>
          </w:p>
        </w:tc>
        <w:tc>
          <w:tcPr>
            <w:tcW w:w="1200" w:type="dxa"/>
            <w:noWrap w:val="0"/>
            <w:vAlign w:val="center"/>
          </w:tcPr>
          <w:p w14:paraId="076EDEF7">
            <w:pPr>
              <w:jc w:val="center"/>
              <w:rPr>
                <w:rFonts w:hint="eastAsia" w:ascii="仿宋" w:hAnsi="仿宋" w:eastAsia="仿宋" w:cs="仿宋"/>
                <w:szCs w:val="21"/>
              </w:rPr>
            </w:pPr>
            <w:r>
              <w:rPr>
                <w:rFonts w:hint="eastAsia" w:ascii="仿宋" w:hAnsi="仿宋" w:eastAsia="仿宋" w:cs="仿宋"/>
                <w:szCs w:val="21"/>
              </w:rPr>
              <w:t>3</w:t>
            </w:r>
          </w:p>
        </w:tc>
        <w:tc>
          <w:tcPr>
            <w:tcW w:w="4767" w:type="dxa"/>
            <w:noWrap w:val="0"/>
            <w:vAlign w:val="center"/>
          </w:tcPr>
          <w:p w14:paraId="529E1AA7">
            <w:pPr>
              <w:rPr>
                <w:rFonts w:hint="eastAsia" w:ascii="仿宋" w:hAnsi="仿宋" w:eastAsia="仿宋" w:cs="仿宋"/>
                <w:szCs w:val="21"/>
              </w:rPr>
            </w:pPr>
            <w:r>
              <w:rPr>
                <w:rFonts w:hint="eastAsia" w:ascii="仿宋" w:hAnsi="仿宋" w:eastAsia="仿宋" w:cs="仿宋"/>
                <w:szCs w:val="21"/>
              </w:rPr>
              <w:t>对投标文件的完整性和响应性进行评价，最优得满分，最低得1分。</w:t>
            </w:r>
          </w:p>
        </w:tc>
      </w:tr>
      <w:tr w14:paraId="305B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exact"/>
          <w:jc w:val="center"/>
        </w:trPr>
        <w:tc>
          <w:tcPr>
            <w:tcW w:w="954" w:type="dxa"/>
            <w:noWrap w:val="0"/>
            <w:vAlign w:val="center"/>
          </w:tcPr>
          <w:p w14:paraId="5CF77805">
            <w:pPr>
              <w:jc w:val="center"/>
              <w:rPr>
                <w:rFonts w:hint="eastAsia" w:ascii="仿宋" w:hAnsi="仿宋" w:eastAsia="仿宋" w:cs="仿宋"/>
                <w:szCs w:val="21"/>
              </w:rPr>
            </w:pPr>
            <w:r>
              <w:rPr>
                <w:rFonts w:hint="eastAsia" w:ascii="仿宋" w:hAnsi="仿宋" w:eastAsia="仿宋" w:cs="仿宋"/>
                <w:szCs w:val="21"/>
              </w:rPr>
              <w:t>2</w:t>
            </w:r>
          </w:p>
        </w:tc>
        <w:tc>
          <w:tcPr>
            <w:tcW w:w="1576" w:type="dxa"/>
            <w:noWrap w:val="0"/>
            <w:vAlign w:val="center"/>
          </w:tcPr>
          <w:p w14:paraId="6CC2918D">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投标单位财务状况（2分）</w:t>
            </w:r>
          </w:p>
        </w:tc>
        <w:tc>
          <w:tcPr>
            <w:tcW w:w="1200" w:type="dxa"/>
            <w:noWrap w:val="0"/>
            <w:vAlign w:val="center"/>
          </w:tcPr>
          <w:p w14:paraId="3E422E03">
            <w:pPr>
              <w:jc w:val="center"/>
              <w:rPr>
                <w:rFonts w:hint="eastAsia" w:ascii="仿宋" w:hAnsi="仿宋" w:eastAsia="仿宋" w:cs="仿宋"/>
                <w:szCs w:val="21"/>
              </w:rPr>
            </w:pPr>
            <w:r>
              <w:rPr>
                <w:rFonts w:hint="eastAsia" w:ascii="仿宋" w:hAnsi="仿宋" w:eastAsia="仿宋" w:cs="仿宋"/>
              </w:rPr>
              <w:t>2</w:t>
            </w:r>
          </w:p>
        </w:tc>
        <w:tc>
          <w:tcPr>
            <w:tcW w:w="4767" w:type="dxa"/>
            <w:noWrap w:val="0"/>
            <w:vAlign w:val="center"/>
          </w:tcPr>
          <w:p w14:paraId="52ECB394">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09B676F7">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7FC7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exact"/>
          <w:jc w:val="center"/>
        </w:trPr>
        <w:tc>
          <w:tcPr>
            <w:tcW w:w="954" w:type="dxa"/>
            <w:noWrap w:val="0"/>
            <w:vAlign w:val="center"/>
          </w:tcPr>
          <w:p w14:paraId="56B6D4C6">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1576" w:type="dxa"/>
            <w:noWrap w:val="0"/>
            <w:vAlign w:val="top"/>
          </w:tcPr>
          <w:p w14:paraId="3D6E2A73">
            <w:pPr>
              <w:rPr>
                <w:rFonts w:hint="eastAsia" w:ascii="仿宋" w:hAnsi="仿宋" w:eastAsia="仿宋" w:cs="仿宋"/>
                <w:szCs w:val="21"/>
                <w:lang w:val="en-US" w:eastAsia="zh-CN"/>
              </w:rPr>
            </w:pPr>
          </w:p>
          <w:p w14:paraId="02744418">
            <w:pPr>
              <w:rPr>
                <w:rFonts w:hint="default" w:ascii="仿宋" w:hAnsi="仿宋" w:eastAsia="仿宋" w:cs="仿宋"/>
                <w:szCs w:val="21"/>
                <w:lang w:val="en-US" w:eastAsia="zh-CN"/>
              </w:rPr>
            </w:pPr>
            <w:r>
              <w:rPr>
                <w:rFonts w:hint="eastAsia" w:ascii="仿宋" w:hAnsi="仿宋" w:eastAsia="仿宋" w:cs="仿宋"/>
                <w:szCs w:val="21"/>
                <w:lang w:val="en-US" w:eastAsia="zh-CN"/>
              </w:rPr>
              <w:t>综合生产能力（3分）</w:t>
            </w:r>
          </w:p>
        </w:tc>
        <w:tc>
          <w:tcPr>
            <w:tcW w:w="1200" w:type="dxa"/>
            <w:noWrap w:val="0"/>
            <w:vAlign w:val="center"/>
          </w:tcPr>
          <w:p w14:paraId="20F5E0E7">
            <w:pPr>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4767" w:type="dxa"/>
            <w:noWrap w:val="0"/>
            <w:vAlign w:val="center"/>
          </w:tcPr>
          <w:p w14:paraId="549006C1">
            <w:pPr>
              <w:rPr>
                <w:rFonts w:hint="eastAsia" w:ascii="仿宋" w:hAnsi="仿宋" w:eastAsia="仿宋" w:cs="仿宋"/>
                <w:szCs w:val="21"/>
              </w:rPr>
            </w:pPr>
            <w:r>
              <w:rPr>
                <w:rFonts w:hint="eastAsia" w:ascii="仿宋" w:hAnsi="仿宋" w:eastAsia="仿宋" w:cs="仿宋"/>
                <w:szCs w:val="21"/>
              </w:rPr>
              <w:t>对生产厂家的能力进行评价，最优得满分，最低得1分。</w:t>
            </w:r>
          </w:p>
        </w:tc>
      </w:tr>
      <w:tr w14:paraId="18BF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exact"/>
          <w:jc w:val="center"/>
        </w:trPr>
        <w:tc>
          <w:tcPr>
            <w:tcW w:w="954" w:type="dxa"/>
            <w:noWrap w:val="0"/>
            <w:vAlign w:val="center"/>
          </w:tcPr>
          <w:p w14:paraId="730CD8FD">
            <w:pPr>
              <w:jc w:val="center"/>
              <w:rPr>
                <w:rFonts w:hint="eastAsia" w:ascii="仿宋" w:hAnsi="仿宋" w:eastAsia="仿宋" w:cs="仿宋"/>
                <w:szCs w:val="21"/>
                <w:lang w:eastAsia="zh-CN"/>
              </w:rPr>
            </w:pPr>
            <w:r>
              <w:rPr>
                <w:rFonts w:hint="eastAsia" w:ascii="仿宋" w:hAnsi="仿宋" w:eastAsia="仿宋" w:cs="仿宋"/>
                <w:szCs w:val="21"/>
                <w:lang w:val="en-US" w:eastAsia="zh-CN"/>
              </w:rPr>
              <w:t>4</w:t>
            </w:r>
          </w:p>
        </w:tc>
        <w:tc>
          <w:tcPr>
            <w:tcW w:w="1576" w:type="dxa"/>
            <w:shd w:val="clear" w:color="auto" w:fill="auto"/>
            <w:noWrap w:val="0"/>
            <w:vAlign w:val="center"/>
          </w:tcPr>
          <w:p w14:paraId="21CDF4F8">
            <w:pPr>
              <w:rPr>
                <w:rFonts w:hint="eastAsia" w:ascii="仿宋" w:hAnsi="仿宋" w:eastAsia="仿宋" w:cs="仿宋"/>
                <w:szCs w:val="21"/>
                <w:lang w:val="en-US" w:eastAsia="zh-CN"/>
              </w:rPr>
            </w:pPr>
            <w:r>
              <w:rPr>
                <w:rFonts w:hint="eastAsia" w:ascii="仿宋" w:hAnsi="仿宋" w:eastAsia="仿宋" w:cs="仿宋"/>
                <w:szCs w:val="21"/>
                <w:lang w:val="en-US" w:eastAsia="zh-CN"/>
              </w:rPr>
              <w:t>信用评价</w:t>
            </w:r>
          </w:p>
          <w:p w14:paraId="3C61EEBF">
            <w:pPr>
              <w:rPr>
                <w:rFonts w:hint="eastAsia" w:ascii="仿宋" w:hAnsi="仿宋" w:eastAsia="仿宋" w:cs="仿宋"/>
                <w:szCs w:val="21"/>
                <w:lang w:val="en-US" w:eastAsia="zh-CN"/>
              </w:rPr>
            </w:pPr>
            <w:r>
              <w:rPr>
                <w:rFonts w:hint="eastAsia" w:ascii="仿宋" w:hAnsi="仿宋" w:eastAsia="仿宋" w:cs="仿宋"/>
                <w:szCs w:val="21"/>
                <w:lang w:val="en-US" w:eastAsia="zh-CN"/>
              </w:rPr>
              <w:t>（1分）</w:t>
            </w:r>
          </w:p>
        </w:tc>
        <w:tc>
          <w:tcPr>
            <w:tcW w:w="1200" w:type="dxa"/>
            <w:shd w:val="clear" w:color="auto" w:fill="auto"/>
            <w:noWrap w:val="0"/>
            <w:vAlign w:val="center"/>
          </w:tcPr>
          <w:p w14:paraId="05B75CAE">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4767" w:type="dxa"/>
            <w:shd w:val="clear" w:color="auto" w:fill="auto"/>
            <w:noWrap w:val="0"/>
            <w:vAlign w:val="center"/>
          </w:tcPr>
          <w:p w14:paraId="5632BF19">
            <w:pPr>
              <w:rPr>
                <w:rFonts w:hint="eastAsia" w:ascii="仿宋" w:hAnsi="仿宋" w:eastAsia="仿宋" w:cs="仿宋"/>
                <w:szCs w:val="21"/>
                <w:lang w:val="en-US" w:eastAsia="zh-CN"/>
              </w:rPr>
            </w:pPr>
            <w:r>
              <w:rPr>
                <w:rFonts w:hint="eastAsia" w:ascii="仿宋" w:hAnsi="仿宋" w:eastAsia="仿宋" w:cs="仿宋"/>
                <w:szCs w:val="21"/>
                <w:lang w:val="en-US" w:eastAsia="zh-CN"/>
              </w:rPr>
              <w:t>2022年以来连续三年被评为AAA级的企业得1分；连续两年被评为AAA级的企业得0.5分（须在投标文件中附以上证件复印件并加盖公章，否则不得分。）</w:t>
            </w:r>
          </w:p>
        </w:tc>
      </w:tr>
      <w:tr w14:paraId="4458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exact"/>
          <w:jc w:val="center"/>
        </w:trPr>
        <w:tc>
          <w:tcPr>
            <w:tcW w:w="954" w:type="dxa"/>
            <w:noWrap w:val="0"/>
            <w:vAlign w:val="center"/>
          </w:tcPr>
          <w:p w14:paraId="20EBAFAB">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5</w:t>
            </w:r>
          </w:p>
        </w:tc>
        <w:tc>
          <w:tcPr>
            <w:tcW w:w="1576" w:type="dxa"/>
            <w:shd w:val="clear" w:color="auto" w:fill="auto"/>
            <w:noWrap w:val="0"/>
            <w:vAlign w:val="center"/>
          </w:tcPr>
          <w:p w14:paraId="64EEFFDF">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商务部分偏差(</w:t>
            </w:r>
            <w:r>
              <w:rPr>
                <w:rFonts w:hint="eastAsia" w:ascii="仿宋" w:hAnsi="仿宋" w:eastAsia="仿宋" w:cs="仿宋"/>
                <w:szCs w:val="21"/>
                <w:lang w:val="en-US" w:eastAsia="zh-CN"/>
              </w:rPr>
              <w:t>1</w:t>
            </w:r>
            <w:r>
              <w:rPr>
                <w:rFonts w:hint="eastAsia" w:ascii="仿宋" w:hAnsi="仿宋" w:eastAsia="仿宋" w:cs="仿宋"/>
                <w:szCs w:val="21"/>
              </w:rPr>
              <w:t>分)</w:t>
            </w:r>
          </w:p>
        </w:tc>
        <w:tc>
          <w:tcPr>
            <w:tcW w:w="1200" w:type="dxa"/>
            <w:shd w:val="clear" w:color="auto" w:fill="auto"/>
            <w:noWrap w:val="0"/>
            <w:vAlign w:val="center"/>
          </w:tcPr>
          <w:p w14:paraId="5205B8B8">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1</w:t>
            </w:r>
          </w:p>
        </w:tc>
        <w:tc>
          <w:tcPr>
            <w:tcW w:w="4767" w:type="dxa"/>
            <w:shd w:val="clear" w:color="auto" w:fill="auto"/>
            <w:noWrap w:val="0"/>
            <w:vAlign w:val="center"/>
          </w:tcPr>
          <w:p w14:paraId="6BA12F4B">
            <w:pPr>
              <w:jc w:val="both"/>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无商务偏差得</w:t>
            </w:r>
            <w:r>
              <w:rPr>
                <w:rFonts w:hint="eastAsia" w:ascii="仿宋" w:hAnsi="仿宋" w:eastAsia="仿宋" w:cs="仿宋"/>
                <w:szCs w:val="21"/>
                <w:lang w:val="en-US" w:eastAsia="zh-CN"/>
              </w:rPr>
              <w:t>1</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有偏差不得分</w:t>
            </w:r>
            <w:r>
              <w:rPr>
                <w:rFonts w:hint="eastAsia" w:ascii="仿宋" w:hAnsi="仿宋" w:eastAsia="仿宋" w:cs="仿宋"/>
                <w:szCs w:val="21"/>
              </w:rPr>
              <w:t>。</w:t>
            </w:r>
          </w:p>
        </w:tc>
      </w:tr>
    </w:tbl>
    <w:p w14:paraId="53AEA133">
      <w:pPr>
        <w:spacing w:before="285" w:beforeLines="75" w:after="285" w:afterLines="75"/>
        <w:rPr>
          <w:rFonts w:hint="eastAsia" w:ascii="仿宋" w:hAnsi="仿宋" w:eastAsia="仿宋" w:cs="仿宋"/>
          <w:b/>
          <w:bCs/>
          <w:sz w:val="32"/>
          <w:szCs w:val="24"/>
          <w:lang w:val="en-US" w:eastAsia="zh-CN"/>
        </w:rPr>
      </w:pPr>
    </w:p>
    <w:p w14:paraId="16680C82">
      <w:pPr>
        <w:spacing w:before="285" w:beforeLines="75" w:after="285" w:afterLines="75"/>
        <w:rPr>
          <w:rFonts w:hint="eastAsia" w:ascii="仿宋" w:hAnsi="仿宋" w:eastAsia="仿宋" w:cs="仿宋"/>
          <w:b/>
          <w:bCs/>
          <w:sz w:val="32"/>
          <w:szCs w:val="24"/>
          <w:lang w:val="en-US" w:eastAsia="zh-CN"/>
        </w:rPr>
      </w:pPr>
    </w:p>
    <w:p w14:paraId="39FA7A16">
      <w:pPr>
        <w:spacing w:before="285" w:beforeLines="75" w:after="285" w:afterLines="75"/>
        <w:ind w:firstLine="600" w:firstLineChars="200"/>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w:t>
      </w:r>
      <w:r>
        <w:rPr>
          <w:rFonts w:hint="eastAsia" w:ascii="仿宋" w:hAnsi="仿宋" w:eastAsia="仿宋"/>
          <w:b w:val="0"/>
          <w:bCs w:val="0"/>
          <w:sz w:val="30"/>
          <w:szCs w:val="30"/>
          <w:lang w:val="en-US" w:eastAsia="zh-CN"/>
        </w:rPr>
        <w:t>、技术部分    30分</w:t>
      </w:r>
    </w:p>
    <w:p w14:paraId="2FF3B5EC">
      <w:pPr>
        <w:spacing w:before="285" w:beforeLines="75" w:after="285" w:afterLines="75"/>
        <w:jc w:val="center"/>
        <w:rPr>
          <w:rFonts w:hint="eastAsia" w:ascii="仿宋" w:hAnsi="仿宋" w:eastAsia="仿宋" w:cs="仿宋"/>
          <w:b/>
          <w:sz w:val="28"/>
          <w:szCs w:val="22"/>
        </w:rPr>
      </w:pPr>
      <w:r>
        <w:rPr>
          <w:rFonts w:hint="eastAsia" w:ascii="仿宋" w:hAnsi="仿宋" w:eastAsia="仿宋" w:cs="仿宋"/>
          <w:b/>
          <w:sz w:val="28"/>
          <w:szCs w:val="22"/>
        </w:rPr>
        <w:t>技术部分评分表（</w:t>
      </w:r>
      <w:r>
        <w:rPr>
          <w:rFonts w:hint="eastAsia" w:ascii="仿宋" w:hAnsi="仿宋" w:eastAsia="仿宋" w:cs="仿宋"/>
          <w:b/>
          <w:sz w:val="28"/>
          <w:szCs w:val="22"/>
          <w:lang w:val="en-US" w:eastAsia="zh-CN"/>
        </w:rPr>
        <w:t>3</w:t>
      </w:r>
      <w:r>
        <w:rPr>
          <w:rFonts w:hint="eastAsia" w:ascii="仿宋" w:hAnsi="仿宋" w:eastAsia="仿宋" w:cs="仿宋"/>
          <w:b/>
          <w:sz w:val="28"/>
          <w:szCs w:val="22"/>
        </w:rPr>
        <w:t>0分）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0"/>
        <w:gridCol w:w="2700"/>
        <w:gridCol w:w="923"/>
        <w:gridCol w:w="4323"/>
      </w:tblGrid>
      <w:tr w14:paraId="389B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3470" w:type="dxa"/>
            <w:gridSpan w:val="2"/>
            <w:noWrap w:val="0"/>
            <w:vAlign w:val="center"/>
          </w:tcPr>
          <w:p w14:paraId="5A5AB25E">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923" w:type="dxa"/>
            <w:noWrap w:val="0"/>
            <w:vAlign w:val="center"/>
          </w:tcPr>
          <w:p w14:paraId="41BB609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4323" w:type="dxa"/>
            <w:noWrap w:val="0"/>
            <w:vAlign w:val="center"/>
          </w:tcPr>
          <w:p w14:paraId="7CFA88A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457C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noWrap w:val="0"/>
            <w:vAlign w:val="center"/>
          </w:tcPr>
          <w:p w14:paraId="5AB1B4D0">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2700" w:type="dxa"/>
            <w:noWrap w:val="0"/>
            <w:vAlign w:val="center"/>
          </w:tcPr>
          <w:p w14:paraId="14757877">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基本功能</w:t>
            </w:r>
          </w:p>
        </w:tc>
        <w:tc>
          <w:tcPr>
            <w:tcW w:w="923" w:type="dxa"/>
            <w:noWrap w:val="0"/>
            <w:vAlign w:val="center"/>
          </w:tcPr>
          <w:p w14:paraId="39000FA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1C6085B7">
            <w:pPr>
              <w:suppressLineNumbers/>
              <w:suppressAutoHyphens/>
              <w:kinsoku w:val="0"/>
              <w:snapToGrid w:val="0"/>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rPr>
              <w:t>完全满足：</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分；基本满足：1-</w:t>
            </w:r>
            <w:r>
              <w:rPr>
                <w:rFonts w:hint="eastAsia" w:ascii="仿宋" w:hAnsi="仿宋" w:eastAsia="仿宋" w:cs="仿宋"/>
                <w:snapToGrid w:val="0"/>
                <w:kern w:val="0"/>
                <w:szCs w:val="21"/>
                <w:lang w:val="en-US" w:eastAsia="zh-CN"/>
              </w:rPr>
              <w:t>4</w:t>
            </w:r>
            <w:r>
              <w:rPr>
                <w:rFonts w:hint="eastAsia" w:ascii="仿宋" w:hAnsi="仿宋" w:eastAsia="仿宋" w:cs="仿宋"/>
                <w:snapToGrid w:val="0"/>
                <w:kern w:val="0"/>
                <w:szCs w:val="21"/>
              </w:rPr>
              <w:t>分；不满足：</w:t>
            </w:r>
            <w:r>
              <w:rPr>
                <w:rFonts w:hint="eastAsia" w:ascii="仿宋" w:hAnsi="仿宋" w:eastAsia="仿宋" w:cs="仿宋"/>
                <w:snapToGrid w:val="0"/>
                <w:kern w:val="0"/>
                <w:szCs w:val="21"/>
                <w:lang w:val="en-US" w:eastAsia="zh-CN"/>
              </w:rPr>
              <w:t>不予评标</w:t>
            </w:r>
          </w:p>
        </w:tc>
      </w:tr>
      <w:tr w14:paraId="111A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noWrap w:val="0"/>
            <w:vAlign w:val="center"/>
          </w:tcPr>
          <w:p w14:paraId="1E902658">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2700" w:type="dxa"/>
            <w:noWrap w:val="0"/>
            <w:vAlign w:val="center"/>
          </w:tcPr>
          <w:p w14:paraId="2140CE15">
            <w:pPr>
              <w:suppressLineNumbers/>
              <w:suppressAutoHyphens/>
              <w:kinsoku w:val="0"/>
              <w:snapToGrid w:val="0"/>
              <w:ind w:left="120" w:leftChars="57"/>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eastAsia="zh-CN"/>
              </w:rPr>
              <w:t>设计制作</w:t>
            </w:r>
          </w:p>
        </w:tc>
        <w:tc>
          <w:tcPr>
            <w:tcW w:w="923" w:type="dxa"/>
            <w:noWrap w:val="0"/>
            <w:vAlign w:val="center"/>
          </w:tcPr>
          <w:p w14:paraId="29B9657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692AC6D7">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根据工艺及技术力量：1-</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7089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noWrap w:val="0"/>
            <w:vAlign w:val="center"/>
          </w:tcPr>
          <w:p w14:paraId="64AECB6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2700" w:type="dxa"/>
            <w:noWrap w:val="0"/>
            <w:vAlign w:val="center"/>
          </w:tcPr>
          <w:p w14:paraId="46E168C8">
            <w:pPr>
              <w:suppressLineNumbers/>
              <w:suppressAutoHyphens/>
              <w:kinsoku w:val="0"/>
              <w:snapToGrid w:val="0"/>
              <w:ind w:firstLine="105" w:firstLineChars="50"/>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rPr>
              <w:t>稳定性、可靠性等</w:t>
            </w:r>
          </w:p>
        </w:tc>
        <w:tc>
          <w:tcPr>
            <w:tcW w:w="923" w:type="dxa"/>
            <w:noWrap w:val="0"/>
            <w:vAlign w:val="center"/>
          </w:tcPr>
          <w:p w14:paraId="7AAC0B70">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65CFBEC0">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根据投标方方案：</w:t>
            </w:r>
            <w:r>
              <w:rPr>
                <w:rFonts w:hint="eastAsia" w:ascii="仿宋" w:hAnsi="仿宋" w:eastAsia="仿宋" w:cs="仿宋"/>
                <w:snapToGrid w:val="0"/>
                <w:kern w:val="0"/>
                <w:szCs w:val="21"/>
                <w:lang w:val="en-US" w:eastAsia="zh-CN"/>
              </w:rPr>
              <w:t>1</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3982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noWrap w:val="0"/>
            <w:vAlign w:val="center"/>
          </w:tcPr>
          <w:p w14:paraId="6661B962">
            <w:pPr>
              <w:suppressLineNumbers/>
              <w:suppressAutoHyphens/>
              <w:kinsoku w:val="0"/>
              <w:snapToGrid w:val="0"/>
              <w:jc w:val="center"/>
              <w:textAlignment w:val="center"/>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4</w:t>
            </w:r>
          </w:p>
        </w:tc>
        <w:tc>
          <w:tcPr>
            <w:tcW w:w="2700" w:type="dxa"/>
            <w:shd w:val="clear" w:color="auto" w:fill="auto"/>
            <w:noWrap w:val="0"/>
            <w:vAlign w:val="center"/>
          </w:tcPr>
          <w:p w14:paraId="0D951148">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综合技术水平及性能</w:t>
            </w:r>
          </w:p>
        </w:tc>
        <w:tc>
          <w:tcPr>
            <w:tcW w:w="923" w:type="dxa"/>
            <w:shd w:val="clear" w:color="auto" w:fill="auto"/>
            <w:noWrap w:val="0"/>
            <w:vAlign w:val="center"/>
          </w:tcPr>
          <w:p w14:paraId="1F3D17F8">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3</w:t>
            </w:r>
          </w:p>
        </w:tc>
        <w:tc>
          <w:tcPr>
            <w:tcW w:w="4323" w:type="dxa"/>
            <w:shd w:val="clear" w:color="auto" w:fill="auto"/>
            <w:noWrap w:val="0"/>
            <w:vAlign w:val="center"/>
          </w:tcPr>
          <w:p w14:paraId="6F9CBE45">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对工艺、技术、配置、性能等的可行性、先进性、专利等综合评价：</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495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noWrap w:val="0"/>
            <w:vAlign w:val="center"/>
          </w:tcPr>
          <w:p w14:paraId="1BAD7B13">
            <w:pPr>
              <w:suppressLineNumbers/>
              <w:suppressAutoHyphens/>
              <w:kinsoku w:val="0"/>
              <w:snapToGrid w:val="0"/>
              <w:jc w:val="center"/>
              <w:textAlignment w:val="center"/>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5</w:t>
            </w:r>
          </w:p>
        </w:tc>
        <w:tc>
          <w:tcPr>
            <w:tcW w:w="2700" w:type="dxa"/>
            <w:shd w:val="clear" w:color="auto" w:fill="auto"/>
            <w:noWrap w:val="0"/>
            <w:vAlign w:val="center"/>
          </w:tcPr>
          <w:p w14:paraId="3F3283F2">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安全</w:t>
            </w:r>
            <w:r>
              <w:rPr>
                <w:rFonts w:hint="eastAsia" w:ascii="仿宋" w:hAnsi="仿宋" w:eastAsia="仿宋" w:cs="仿宋"/>
                <w:snapToGrid w:val="0"/>
                <w:kern w:val="0"/>
                <w:szCs w:val="21"/>
                <w:lang w:eastAsia="zh-CN"/>
              </w:rPr>
              <w:t>、</w:t>
            </w:r>
            <w:r>
              <w:rPr>
                <w:rFonts w:hint="eastAsia" w:ascii="仿宋" w:hAnsi="仿宋" w:eastAsia="仿宋" w:cs="仿宋"/>
                <w:snapToGrid w:val="0"/>
                <w:kern w:val="0"/>
                <w:szCs w:val="21"/>
              </w:rPr>
              <w:t>环保</w:t>
            </w:r>
          </w:p>
        </w:tc>
        <w:tc>
          <w:tcPr>
            <w:tcW w:w="923" w:type="dxa"/>
            <w:shd w:val="clear" w:color="auto" w:fill="auto"/>
            <w:noWrap w:val="0"/>
            <w:vAlign w:val="center"/>
          </w:tcPr>
          <w:p w14:paraId="12CC9414">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4E47BEE3">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根据具体情况：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7D34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shd w:val="clear" w:color="auto" w:fill="auto"/>
            <w:noWrap w:val="0"/>
            <w:vAlign w:val="center"/>
          </w:tcPr>
          <w:p w14:paraId="3526E633">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6</w:t>
            </w:r>
          </w:p>
        </w:tc>
        <w:tc>
          <w:tcPr>
            <w:tcW w:w="2700" w:type="dxa"/>
            <w:shd w:val="clear" w:color="auto" w:fill="auto"/>
            <w:noWrap w:val="0"/>
            <w:vAlign w:val="center"/>
          </w:tcPr>
          <w:p w14:paraId="01A3FE89">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随机备品备件</w:t>
            </w:r>
          </w:p>
        </w:tc>
        <w:tc>
          <w:tcPr>
            <w:tcW w:w="923" w:type="dxa"/>
            <w:shd w:val="clear" w:color="auto" w:fill="auto"/>
            <w:noWrap w:val="0"/>
            <w:vAlign w:val="center"/>
          </w:tcPr>
          <w:p w14:paraId="5EE55CCB">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3D98C6A">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根据随机备品备件的提供情况：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2E3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shd w:val="clear" w:color="auto" w:fill="auto"/>
            <w:noWrap w:val="0"/>
            <w:vAlign w:val="center"/>
          </w:tcPr>
          <w:p w14:paraId="5BE53AFF">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7</w:t>
            </w:r>
          </w:p>
        </w:tc>
        <w:tc>
          <w:tcPr>
            <w:tcW w:w="2700" w:type="dxa"/>
            <w:shd w:val="clear" w:color="auto" w:fill="auto"/>
            <w:noWrap w:val="0"/>
            <w:vAlign w:val="center"/>
          </w:tcPr>
          <w:p w14:paraId="3A0EF71D">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工期</w:t>
            </w:r>
          </w:p>
        </w:tc>
        <w:tc>
          <w:tcPr>
            <w:tcW w:w="923" w:type="dxa"/>
            <w:shd w:val="clear" w:color="auto" w:fill="auto"/>
            <w:noWrap w:val="0"/>
            <w:vAlign w:val="center"/>
          </w:tcPr>
          <w:p w14:paraId="109CFBA0">
            <w:pPr>
              <w:suppressLineNumbers/>
              <w:suppressAutoHyphens/>
              <w:kinsoku w:val="0"/>
              <w:snapToGrid w:val="0"/>
              <w:ind w:left="235" w:leftChars="0" w:hanging="235" w:hangingChars="112"/>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2</w:t>
            </w:r>
          </w:p>
        </w:tc>
        <w:tc>
          <w:tcPr>
            <w:tcW w:w="4323" w:type="dxa"/>
            <w:shd w:val="clear" w:color="auto" w:fill="auto"/>
            <w:noWrap w:val="0"/>
            <w:vAlign w:val="center"/>
          </w:tcPr>
          <w:p w14:paraId="1AB633AE">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eastAsia="zh-CN"/>
              </w:rPr>
              <w:t>依据投标人差异评分</w:t>
            </w:r>
            <w:r>
              <w:rPr>
                <w:rFonts w:hint="eastAsia" w:ascii="仿宋" w:hAnsi="仿宋" w:eastAsia="仿宋" w:cs="仿宋"/>
                <w:snapToGrid w:val="0"/>
                <w:kern w:val="0"/>
                <w:szCs w:val="21"/>
              </w:rPr>
              <w:t>：0-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4EFB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shd w:val="clear" w:color="auto" w:fill="auto"/>
            <w:noWrap w:val="0"/>
            <w:vAlign w:val="center"/>
          </w:tcPr>
          <w:p w14:paraId="32FB2841">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8</w:t>
            </w:r>
          </w:p>
        </w:tc>
        <w:tc>
          <w:tcPr>
            <w:tcW w:w="2700" w:type="dxa"/>
            <w:shd w:val="clear" w:color="auto" w:fill="auto"/>
            <w:noWrap w:val="0"/>
            <w:vAlign w:val="center"/>
          </w:tcPr>
          <w:p w14:paraId="27977695">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改造技术方案</w:t>
            </w:r>
          </w:p>
        </w:tc>
        <w:tc>
          <w:tcPr>
            <w:tcW w:w="923" w:type="dxa"/>
            <w:shd w:val="clear" w:color="auto" w:fill="auto"/>
            <w:noWrap w:val="0"/>
            <w:vAlign w:val="center"/>
          </w:tcPr>
          <w:p w14:paraId="6EB45DC0">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1D8A3BBB">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根据投标方方案：0-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038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shd w:val="clear" w:color="auto" w:fill="auto"/>
            <w:noWrap w:val="0"/>
            <w:vAlign w:val="center"/>
          </w:tcPr>
          <w:p w14:paraId="0883429E">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9</w:t>
            </w:r>
          </w:p>
        </w:tc>
        <w:tc>
          <w:tcPr>
            <w:tcW w:w="2700" w:type="dxa"/>
            <w:shd w:val="clear" w:color="auto" w:fill="auto"/>
            <w:noWrap w:val="0"/>
            <w:vAlign w:val="center"/>
          </w:tcPr>
          <w:p w14:paraId="16BD242C">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质量保证期</w:t>
            </w:r>
          </w:p>
        </w:tc>
        <w:tc>
          <w:tcPr>
            <w:tcW w:w="923" w:type="dxa"/>
            <w:shd w:val="clear" w:color="auto" w:fill="auto"/>
            <w:noWrap w:val="0"/>
            <w:vAlign w:val="center"/>
          </w:tcPr>
          <w:p w14:paraId="787848CA">
            <w:pPr>
              <w:suppressLineNumbers/>
              <w:suppressAutoHyphens/>
              <w:kinsoku w:val="0"/>
              <w:snapToGrid w:val="0"/>
              <w:jc w:val="center"/>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BBA2DA1">
            <w:pPr>
              <w:suppressLineNumbers/>
              <w:suppressAutoHyphens/>
              <w:kinsoku w:val="0"/>
              <w:snapToGrid w:val="0"/>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eastAsia="zh-CN"/>
              </w:rPr>
              <w:t>依据投标人差异评分，0-2分</w:t>
            </w:r>
          </w:p>
        </w:tc>
      </w:tr>
      <w:tr w14:paraId="7235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shd w:val="clear" w:color="auto" w:fill="auto"/>
            <w:noWrap w:val="0"/>
            <w:vAlign w:val="center"/>
          </w:tcPr>
          <w:p w14:paraId="4922B395">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10</w:t>
            </w:r>
          </w:p>
        </w:tc>
        <w:tc>
          <w:tcPr>
            <w:tcW w:w="2700" w:type="dxa"/>
            <w:shd w:val="clear" w:color="auto" w:fill="auto"/>
            <w:noWrap w:val="0"/>
            <w:vAlign w:val="center"/>
          </w:tcPr>
          <w:p w14:paraId="31308314">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售后服务</w:t>
            </w:r>
          </w:p>
        </w:tc>
        <w:tc>
          <w:tcPr>
            <w:tcW w:w="923" w:type="dxa"/>
            <w:shd w:val="clear" w:color="auto" w:fill="auto"/>
            <w:noWrap w:val="0"/>
            <w:vAlign w:val="center"/>
          </w:tcPr>
          <w:p w14:paraId="731A94EF">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2E9D6C51">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机构、人员、计划、承诺等，0-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bl>
    <w:p w14:paraId="06E2007C">
      <w:pPr>
        <w:spacing w:line="460" w:lineRule="exact"/>
        <w:rPr>
          <w:rFonts w:ascii="仿宋" w:hAnsi="仿宋" w:eastAsia="仿宋"/>
          <w:b/>
          <w:bCs/>
          <w:sz w:val="30"/>
          <w:szCs w:val="30"/>
        </w:rPr>
      </w:pPr>
      <w:r>
        <w:rPr>
          <w:rFonts w:hint="eastAsia" w:ascii="仿宋" w:hAnsi="仿宋" w:eastAsia="仿宋"/>
          <w:b/>
          <w:bCs/>
          <w:sz w:val="30"/>
          <w:szCs w:val="30"/>
          <w:lang w:val="en-US" w:eastAsia="zh-CN"/>
        </w:rPr>
        <w:t>五</w:t>
      </w:r>
      <w:r>
        <w:rPr>
          <w:rFonts w:hint="eastAsia" w:ascii="仿宋" w:hAnsi="仿宋" w:eastAsia="仿宋"/>
          <w:b/>
          <w:bCs/>
          <w:sz w:val="30"/>
          <w:szCs w:val="30"/>
        </w:rPr>
        <w:t>、授予合同</w:t>
      </w:r>
    </w:p>
    <w:p w14:paraId="56F5C8C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1、招标人在授予合同时，保留对招标文件中规定的货物数量和规格予以调整的权力。</w:t>
      </w:r>
    </w:p>
    <w:p w14:paraId="2CF8B77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2、为保证项目的进度要求，招标人保留拆包授予合同的权力。</w:t>
      </w:r>
    </w:p>
    <w:p w14:paraId="43B1E7E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3、中标人在接到《中标通知书》后10日内，按买方约定的时间、地点与买方签订合同。</w:t>
      </w:r>
    </w:p>
    <w:p w14:paraId="10C8C36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4、招标文件、中标人的投标文件及其澄清文件等，均为签订合同的依据。中标人不得与招标人签订背离上述文件内容的合同。</w:t>
      </w:r>
    </w:p>
    <w:p w14:paraId="4019FCBC">
      <w:pPr>
        <w:spacing w:line="460" w:lineRule="exact"/>
        <w:ind w:firstLine="600" w:firstLineChars="200"/>
        <w:rPr>
          <w:rFonts w:ascii="仿宋" w:hAnsi="仿宋" w:eastAsia="仿宋"/>
          <w:sz w:val="30"/>
          <w:szCs w:val="30"/>
        </w:rPr>
      </w:pPr>
      <w:r>
        <w:rPr>
          <w:rFonts w:hint="eastAsia" w:ascii="仿宋" w:hAnsi="仿宋" w:eastAsia="仿宋"/>
          <w:sz w:val="30"/>
          <w:szCs w:val="30"/>
        </w:rPr>
        <w:t xml:space="preserve">    </w:t>
      </w:r>
    </w:p>
    <w:p w14:paraId="29BEF17B">
      <w:pPr>
        <w:spacing w:line="460" w:lineRule="exact"/>
        <w:rPr>
          <w:rFonts w:ascii="仿宋" w:hAnsi="仿宋" w:eastAsia="仿宋"/>
          <w:b/>
          <w:bCs/>
          <w:sz w:val="30"/>
          <w:szCs w:val="30"/>
        </w:rPr>
      </w:pPr>
      <w:r>
        <w:rPr>
          <w:rFonts w:hint="eastAsia" w:ascii="仿宋" w:hAnsi="仿宋" w:eastAsia="仿宋"/>
          <w:b/>
          <w:bCs/>
          <w:sz w:val="30"/>
          <w:szCs w:val="30"/>
          <w:lang w:val="en-US" w:eastAsia="zh-CN"/>
        </w:rPr>
        <w:t>六</w:t>
      </w:r>
      <w:r>
        <w:rPr>
          <w:rFonts w:hint="eastAsia" w:ascii="仿宋" w:hAnsi="仿宋" w:eastAsia="仿宋"/>
          <w:b/>
          <w:bCs/>
          <w:sz w:val="30"/>
          <w:szCs w:val="30"/>
        </w:rPr>
        <w:t>、招标投标费用：</w:t>
      </w:r>
    </w:p>
    <w:p w14:paraId="4B1FF9A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一切与投标有关的费用均由投标人自理。</w:t>
      </w:r>
    </w:p>
    <w:p w14:paraId="5A21C850">
      <w:pPr>
        <w:spacing w:line="460" w:lineRule="exact"/>
        <w:ind w:firstLine="600" w:firstLineChars="200"/>
        <w:rPr>
          <w:rFonts w:ascii="仿宋" w:hAnsi="仿宋" w:eastAsia="仿宋"/>
          <w:sz w:val="30"/>
          <w:szCs w:val="30"/>
        </w:rPr>
      </w:pPr>
    </w:p>
    <w:p w14:paraId="04E4DA84">
      <w:pPr>
        <w:spacing w:line="460" w:lineRule="exact"/>
        <w:rPr>
          <w:rFonts w:ascii="仿宋" w:hAnsi="仿宋" w:eastAsia="仿宋"/>
          <w:b/>
          <w:bCs/>
          <w:sz w:val="30"/>
          <w:szCs w:val="30"/>
        </w:rPr>
      </w:pPr>
      <w:r>
        <w:rPr>
          <w:rFonts w:hint="eastAsia" w:ascii="仿宋" w:hAnsi="仿宋" w:eastAsia="仿宋"/>
          <w:b/>
          <w:bCs/>
          <w:sz w:val="30"/>
          <w:szCs w:val="30"/>
          <w:lang w:val="en-US" w:eastAsia="zh-CN"/>
        </w:rPr>
        <w:t>七</w:t>
      </w:r>
      <w:r>
        <w:rPr>
          <w:rFonts w:hint="eastAsia" w:ascii="仿宋" w:hAnsi="仿宋" w:eastAsia="仿宋"/>
          <w:b/>
          <w:bCs/>
          <w:sz w:val="30"/>
          <w:szCs w:val="30"/>
        </w:rPr>
        <w:t>、投标人资格审查文件</w:t>
      </w:r>
    </w:p>
    <w:p w14:paraId="0DB06CF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投标人要提交下列文件以便招标单位审核：</w:t>
      </w:r>
    </w:p>
    <w:p w14:paraId="0D36212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 企业法人营业执照（需提供原件供招标人审查）；</w:t>
      </w:r>
    </w:p>
    <w:p w14:paraId="722A2C7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2) 法人、授权委托人身份证复印件；</w:t>
      </w:r>
    </w:p>
    <w:p w14:paraId="37CC491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3）有关鉴定材料、相关资质许可证；</w:t>
      </w:r>
    </w:p>
    <w:p w14:paraId="52B4A4E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4) 质量保证体系及其质量认证证明；</w:t>
      </w:r>
    </w:p>
    <w:p w14:paraId="0F15230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5) 业绩及目前正在执行合同情况(包括完成情况和出现的重要质量问题及改进措施)；</w:t>
      </w:r>
      <w:r>
        <w:rPr>
          <w:rFonts w:hint="eastAsia" w:ascii="仿宋" w:hAnsi="仿宋" w:eastAsia="仿宋"/>
          <w:sz w:val="30"/>
          <w:szCs w:val="30"/>
          <w:lang w:val="en-US" w:eastAsia="zh-CN"/>
        </w:rPr>
        <w:tab/>
      </w:r>
      <w:r>
        <w:rPr>
          <w:rFonts w:hint="eastAsia" w:ascii="仿宋" w:hAnsi="仿宋" w:eastAsia="仿宋"/>
          <w:sz w:val="30"/>
          <w:szCs w:val="30"/>
          <w:lang w:val="en-US" w:eastAsia="zh-CN"/>
        </w:rPr>
        <w:t xml:space="preserve"> </w:t>
      </w:r>
    </w:p>
    <w:p w14:paraId="4316F81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b/>
          <w:color w:val="FF0000"/>
          <w:sz w:val="30"/>
          <w:szCs w:val="30"/>
          <w:lang w:val="en-US" w:eastAsia="zh-CN"/>
        </w:rPr>
      </w:pPr>
      <w:r>
        <w:rPr>
          <w:rFonts w:hint="eastAsia" w:ascii="仿宋" w:hAnsi="仿宋" w:eastAsia="仿宋"/>
          <w:sz w:val="30"/>
          <w:szCs w:val="30"/>
          <w:lang w:val="en-US" w:eastAsia="zh-CN"/>
        </w:rPr>
        <w:t>6) 其它文件和资料。</w:t>
      </w:r>
    </w:p>
    <w:p w14:paraId="19825255">
      <w:pPr>
        <w:spacing w:line="460" w:lineRule="exact"/>
        <w:rPr>
          <w:rFonts w:hint="eastAsia" w:ascii="仿宋" w:hAnsi="仿宋" w:eastAsia="仿宋"/>
          <w:sz w:val="30"/>
          <w:szCs w:val="30"/>
        </w:rPr>
      </w:pPr>
    </w:p>
    <w:p w14:paraId="4710F7E8">
      <w:pPr>
        <w:spacing w:line="460" w:lineRule="exact"/>
        <w:rPr>
          <w:rFonts w:hint="eastAsia" w:ascii="仿宋" w:hAnsi="仿宋" w:eastAsia="仿宋"/>
          <w:sz w:val="30"/>
          <w:szCs w:val="30"/>
        </w:rPr>
      </w:pPr>
    </w:p>
    <w:p w14:paraId="7CAAFC4C">
      <w:pPr>
        <w:spacing w:line="460" w:lineRule="exact"/>
        <w:rPr>
          <w:rFonts w:ascii="仿宋" w:hAnsi="仿宋" w:eastAsia="仿宋"/>
          <w:b/>
          <w:bCs/>
          <w:sz w:val="30"/>
          <w:szCs w:val="30"/>
        </w:rPr>
      </w:pPr>
      <w:r>
        <w:rPr>
          <w:rFonts w:hint="eastAsia" w:ascii="仿宋" w:hAnsi="仿宋" w:eastAsia="仿宋"/>
          <w:b/>
          <w:bCs/>
          <w:sz w:val="30"/>
          <w:szCs w:val="30"/>
          <w:lang w:val="en-US" w:eastAsia="zh-CN"/>
        </w:rPr>
        <w:t>八</w:t>
      </w:r>
      <w:r>
        <w:rPr>
          <w:rFonts w:hint="eastAsia" w:ascii="仿宋" w:hAnsi="仿宋" w:eastAsia="仿宋"/>
          <w:b/>
          <w:bCs/>
          <w:sz w:val="30"/>
          <w:szCs w:val="30"/>
        </w:rPr>
        <w:t>、 投标保证金</w:t>
      </w:r>
    </w:p>
    <w:p w14:paraId="192FD15F">
      <w:pPr>
        <w:spacing w:line="460" w:lineRule="exact"/>
        <w:ind w:firstLine="600" w:firstLineChars="200"/>
        <w:rPr>
          <w:rFonts w:ascii="仿宋" w:hAnsi="仿宋" w:eastAsia="仿宋"/>
          <w:sz w:val="30"/>
          <w:szCs w:val="30"/>
        </w:rPr>
      </w:pPr>
      <w:r>
        <w:rPr>
          <w:rFonts w:hint="eastAsia" w:ascii="仿宋" w:hAnsi="仿宋" w:eastAsia="仿宋"/>
          <w:sz w:val="30"/>
          <w:szCs w:val="30"/>
        </w:rPr>
        <w:t>投标保证金（人民币：</w:t>
      </w:r>
      <w:r>
        <w:rPr>
          <w:rFonts w:hint="eastAsia" w:ascii="仿宋" w:hAnsi="仿宋" w:eastAsia="仿宋"/>
          <w:sz w:val="30"/>
          <w:szCs w:val="30"/>
          <w:lang w:val="en-US" w:eastAsia="zh-CN"/>
        </w:rPr>
        <w:t>壹万</w:t>
      </w:r>
      <w:r>
        <w:rPr>
          <w:rFonts w:hint="eastAsia" w:ascii="仿宋" w:hAnsi="仿宋" w:eastAsia="仿宋"/>
          <w:sz w:val="30"/>
          <w:szCs w:val="30"/>
        </w:rPr>
        <w:t xml:space="preserve">元整     </w:t>
      </w: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000</w:t>
      </w:r>
      <w:r>
        <w:rPr>
          <w:rFonts w:hint="eastAsia" w:ascii="仿宋" w:hAnsi="仿宋" w:eastAsia="仿宋" w:cs="仿宋"/>
          <w:sz w:val="30"/>
          <w:szCs w:val="30"/>
          <w:lang w:val="en-US" w:eastAsia="zh-CN"/>
        </w:rPr>
        <w:t>0</w:t>
      </w:r>
      <w:r>
        <w:rPr>
          <w:rFonts w:hint="eastAsia" w:ascii="仿宋" w:hAnsi="仿宋" w:eastAsia="仿宋" w:cs="仿宋"/>
          <w:sz w:val="30"/>
          <w:szCs w:val="30"/>
        </w:rPr>
        <w:t>元</w:t>
      </w:r>
      <w:r>
        <w:rPr>
          <w:rFonts w:hint="eastAsia" w:ascii="仿宋" w:hAnsi="仿宋" w:eastAsia="仿宋"/>
          <w:sz w:val="30"/>
          <w:szCs w:val="30"/>
        </w:rPr>
        <w:t xml:space="preserve">） </w:t>
      </w:r>
    </w:p>
    <w:p w14:paraId="01240325">
      <w:pPr>
        <w:spacing w:line="460" w:lineRule="exact"/>
        <w:ind w:firstLine="600" w:firstLineChars="200"/>
        <w:rPr>
          <w:rFonts w:ascii="仿宋" w:hAnsi="仿宋" w:eastAsia="仿宋"/>
          <w:sz w:val="30"/>
          <w:szCs w:val="30"/>
        </w:rPr>
      </w:pPr>
      <w:r>
        <w:rPr>
          <w:rFonts w:hint="eastAsia" w:ascii="仿宋" w:hAnsi="仿宋" w:eastAsia="仿宋"/>
          <w:sz w:val="30"/>
          <w:szCs w:val="30"/>
        </w:rPr>
        <w:t>投标保证金交纳时间</w:t>
      </w:r>
      <w:r>
        <w:rPr>
          <w:rFonts w:hint="eastAsia" w:ascii="仿宋" w:hAnsi="仿宋" w:eastAsia="仿宋"/>
          <w:b w:val="0"/>
          <w:bCs w:val="0"/>
          <w:color w:val="000000" w:themeColor="text1"/>
          <w:sz w:val="30"/>
          <w:szCs w:val="30"/>
          <w14:textFill>
            <w14:solidFill>
              <w14:schemeClr w14:val="tx1"/>
            </w14:solidFill>
          </w14:textFill>
        </w:rPr>
        <w:t>：202</w:t>
      </w:r>
      <w:r>
        <w:rPr>
          <w:rFonts w:hint="eastAsia" w:ascii="仿宋" w:hAnsi="仿宋" w:eastAsia="仿宋"/>
          <w:b w:val="0"/>
          <w:bCs w:val="0"/>
          <w:color w:val="000000" w:themeColor="text1"/>
          <w:sz w:val="30"/>
          <w:szCs w:val="30"/>
          <w:lang w:val="en-US" w:eastAsia="zh-CN"/>
          <w14:textFill>
            <w14:solidFill>
              <w14:schemeClr w14:val="tx1"/>
            </w14:solidFill>
          </w14:textFill>
        </w:rPr>
        <w:t>6</w:t>
      </w:r>
      <w:r>
        <w:rPr>
          <w:rFonts w:hint="eastAsia" w:ascii="仿宋" w:hAnsi="仿宋" w:eastAsia="仿宋"/>
          <w:b w:val="0"/>
          <w:bCs w:val="0"/>
          <w:color w:val="000000" w:themeColor="text1"/>
          <w:sz w:val="30"/>
          <w:szCs w:val="30"/>
          <w14:textFill>
            <w14:solidFill>
              <w14:schemeClr w14:val="tx1"/>
            </w14:solidFill>
          </w14:textFill>
        </w:rPr>
        <w:t>年</w:t>
      </w:r>
      <w:r>
        <w:rPr>
          <w:rFonts w:hint="eastAsia" w:ascii="仿宋" w:hAnsi="仿宋" w:eastAsia="仿宋"/>
          <w:b w:val="0"/>
          <w:bCs w:val="0"/>
          <w:color w:val="000000" w:themeColor="text1"/>
          <w:sz w:val="30"/>
          <w:szCs w:val="30"/>
          <w:lang w:val="en-US" w:eastAsia="zh-CN"/>
          <w14:textFill>
            <w14:solidFill>
              <w14:schemeClr w14:val="tx1"/>
            </w14:solidFill>
          </w14:textFill>
        </w:rPr>
        <w:t>7</w:t>
      </w:r>
      <w:r>
        <w:rPr>
          <w:rFonts w:ascii="仿宋" w:hAnsi="仿宋" w:eastAsia="仿宋"/>
          <w:b w:val="0"/>
          <w:bCs w:val="0"/>
          <w:color w:val="000000" w:themeColor="text1"/>
          <w:sz w:val="30"/>
          <w:szCs w:val="30"/>
          <w14:textFill>
            <w14:solidFill>
              <w14:schemeClr w14:val="tx1"/>
            </w14:solidFill>
          </w14:textFill>
        </w:rPr>
        <w:t>月</w:t>
      </w:r>
      <w:r>
        <w:rPr>
          <w:rFonts w:hint="eastAsia" w:ascii="仿宋" w:hAnsi="仿宋" w:eastAsia="仿宋"/>
          <w:b w:val="0"/>
          <w:bCs w:val="0"/>
          <w:color w:val="000000" w:themeColor="text1"/>
          <w:sz w:val="30"/>
          <w:szCs w:val="30"/>
          <w:lang w:val="en-US" w:eastAsia="zh-CN"/>
          <w14:textFill>
            <w14:solidFill>
              <w14:schemeClr w14:val="tx1"/>
            </w14:solidFill>
          </w14:textFill>
        </w:rPr>
        <w:t>16</w:t>
      </w:r>
      <w:r>
        <w:rPr>
          <w:rFonts w:ascii="仿宋" w:hAnsi="仿宋" w:eastAsia="仿宋"/>
          <w:b w:val="0"/>
          <w:bCs w:val="0"/>
          <w:color w:val="000000" w:themeColor="text1"/>
          <w:sz w:val="30"/>
          <w:szCs w:val="30"/>
          <w14:textFill>
            <w14:solidFill>
              <w14:schemeClr w14:val="tx1"/>
            </w14:solidFill>
          </w14:textFill>
        </w:rPr>
        <w:t>日</w:t>
      </w:r>
      <w:r>
        <w:rPr>
          <w:rFonts w:hint="eastAsia" w:ascii="仿宋" w:hAnsi="仿宋" w:eastAsia="仿宋"/>
          <w:b w:val="0"/>
          <w:bCs w:val="0"/>
          <w:color w:val="000000" w:themeColor="text1"/>
          <w:sz w:val="30"/>
          <w:szCs w:val="30"/>
          <w14:textFill>
            <w14:solidFill>
              <w14:schemeClr w14:val="tx1"/>
            </w14:solidFill>
          </w14:textFill>
        </w:rPr>
        <w:t>1</w:t>
      </w:r>
      <w:r>
        <w:rPr>
          <w:rFonts w:hint="eastAsia" w:ascii="仿宋" w:hAnsi="仿宋" w:eastAsia="仿宋"/>
          <w:b w:val="0"/>
          <w:bCs w:val="0"/>
          <w:color w:val="000000" w:themeColor="text1"/>
          <w:sz w:val="30"/>
          <w:szCs w:val="30"/>
          <w:lang w:val="en-US" w:eastAsia="zh-CN"/>
          <w14:textFill>
            <w14:solidFill>
              <w14:schemeClr w14:val="tx1"/>
            </w14:solidFill>
          </w14:textFill>
        </w:rPr>
        <w:t>8</w:t>
      </w:r>
      <w:r>
        <w:rPr>
          <w:rFonts w:hint="eastAsia" w:ascii="仿宋" w:hAnsi="仿宋" w:eastAsia="仿宋"/>
          <w:b w:val="0"/>
          <w:bCs w:val="0"/>
          <w:color w:val="000000" w:themeColor="text1"/>
          <w:sz w:val="30"/>
          <w:szCs w:val="30"/>
          <w14:textFill>
            <w14:solidFill>
              <w14:schemeClr w14:val="tx1"/>
            </w14:solidFill>
          </w14:textFill>
        </w:rPr>
        <w:t>时（北京时间）前</w:t>
      </w:r>
      <w:r>
        <w:rPr>
          <w:rFonts w:hint="eastAsia" w:ascii="仿宋" w:hAnsi="仿宋" w:eastAsia="仿宋"/>
          <w:sz w:val="30"/>
          <w:szCs w:val="30"/>
        </w:rPr>
        <w:t>到账，投标截止时间之后递交的投标保证金将被拒绝。公对公电汇转账方式缴纳（不接受现金及个人转账</w:t>
      </w:r>
      <w:r>
        <w:rPr>
          <w:rFonts w:hint="eastAsia" w:ascii="仿宋" w:hAnsi="仿宋" w:eastAsia="仿宋"/>
          <w:sz w:val="30"/>
          <w:szCs w:val="30"/>
          <w:lang w:eastAsia="zh-CN"/>
        </w:rPr>
        <w:t>，</w:t>
      </w:r>
      <w:r>
        <w:rPr>
          <w:rFonts w:hint="eastAsia" w:ascii="仿宋" w:hAnsi="仿宋" w:eastAsia="仿宋"/>
          <w:sz w:val="30"/>
          <w:szCs w:val="30"/>
          <w:lang w:val="en-US" w:eastAsia="zh-CN"/>
        </w:rPr>
        <w:t>备注好投标人名称</w:t>
      </w:r>
      <w:r>
        <w:rPr>
          <w:rFonts w:hint="eastAsia" w:ascii="仿宋" w:hAnsi="仿宋" w:eastAsia="仿宋"/>
          <w:sz w:val="30"/>
          <w:szCs w:val="30"/>
        </w:rPr>
        <w:t>）。最终以</w:t>
      </w:r>
      <w:r>
        <w:rPr>
          <w:rFonts w:hint="eastAsia" w:ascii="仿宋" w:hAnsi="仿宋" w:eastAsia="仿宋"/>
          <w:sz w:val="30"/>
          <w:szCs w:val="30"/>
          <w:lang w:val="en-US" w:eastAsia="zh-CN"/>
        </w:rPr>
        <w:t>洛阳万基铝加工有限公司</w:t>
      </w:r>
      <w:r>
        <w:rPr>
          <w:rFonts w:hint="eastAsia" w:ascii="仿宋" w:hAnsi="仿宋" w:eastAsia="仿宋"/>
          <w:sz w:val="30"/>
          <w:szCs w:val="30"/>
        </w:rPr>
        <w:t>财务所开收到凭证为准。</w:t>
      </w:r>
    </w:p>
    <w:p w14:paraId="657CD52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招标人指定的投标保证金的接收单位：</w:t>
      </w:r>
    </w:p>
    <w:p w14:paraId="03D6C0D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单位名称：洛阳万基铝加工有限公司</w:t>
      </w:r>
    </w:p>
    <w:p w14:paraId="104A316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开 户 行：中国建设银行股份有限公司洛阳华山路支行</w:t>
      </w:r>
    </w:p>
    <w:p w14:paraId="6A5643C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账    号：41050168630800002126</w:t>
      </w:r>
    </w:p>
    <w:p w14:paraId="5628F73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sz w:val="30"/>
          <w:szCs w:val="30"/>
          <w:lang w:val="en-US" w:eastAsia="zh-CN"/>
        </w:rPr>
      </w:pPr>
      <w:r>
        <w:rPr>
          <w:rFonts w:hint="eastAsia" w:ascii="仿宋" w:hAnsi="仿宋" w:eastAsia="仿宋"/>
          <w:sz w:val="30"/>
          <w:szCs w:val="30"/>
        </w:rPr>
        <w:t>联系电话：0379-6733</w:t>
      </w:r>
      <w:r>
        <w:rPr>
          <w:rFonts w:hint="eastAsia" w:ascii="仿宋" w:hAnsi="仿宋" w:eastAsia="仿宋"/>
          <w:sz w:val="30"/>
          <w:szCs w:val="30"/>
          <w:lang w:val="en-US" w:eastAsia="zh-CN"/>
        </w:rPr>
        <w:t>3582</w:t>
      </w:r>
    </w:p>
    <w:p w14:paraId="0B98613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保证金退还：</w:t>
      </w:r>
    </w:p>
    <w:p w14:paraId="4988829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未中标的投标人的投标保证金，将在招标机构发出《中标通知书》后10日内予以无息退还。</w:t>
      </w:r>
    </w:p>
    <w:p w14:paraId="5F96BD4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中标人的投标保证金，在签订了合同且满足履约条件后，招标机构将通过投标单位账户全额无息退还。</w:t>
      </w:r>
    </w:p>
    <w:p w14:paraId="3BD96F9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发生以下情况之一者，投标保证金将不予退还：</w:t>
      </w:r>
    </w:p>
    <w:p w14:paraId="7067E3A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I.投标人在投标报价有效期内撤回、修改其投标报价（含报价说明）；</w:t>
      </w:r>
    </w:p>
    <w:p w14:paraId="0973527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II. 投标人以他人名义投标、相互串通投标或者以其他方式弄虚作假的，投标人提交虚假资料或失实资料；</w:t>
      </w:r>
    </w:p>
    <w:p w14:paraId="4D932C5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III.投标人被通知中标后，拒绝在规定时间按报价及招标文件要求签订技术协议及商务合同；</w:t>
      </w:r>
    </w:p>
    <w:p w14:paraId="487EE46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IV. 投标人违反纪律与保密的有关规定；</w:t>
      </w:r>
    </w:p>
    <w:p w14:paraId="659491E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V.若中标人违约，则该笔保证金将予以扣除，并将投标人列入信用黑名单。</w:t>
      </w:r>
    </w:p>
    <w:p w14:paraId="0C69A720">
      <w:pPr>
        <w:pStyle w:val="21"/>
        <w:rPr>
          <w:rFonts w:hint="eastAsia" w:ascii="仿宋" w:hAnsi="仿宋" w:eastAsia="仿宋"/>
          <w:sz w:val="28"/>
          <w:szCs w:val="28"/>
        </w:rPr>
      </w:pPr>
    </w:p>
    <w:p w14:paraId="022E571A">
      <w:pPr>
        <w:pStyle w:val="21"/>
        <w:rPr>
          <w:rFonts w:hint="eastAsia" w:ascii="仿宋" w:hAnsi="仿宋" w:eastAsia="仿宋"/>
          <w:sz w:val="28"/>
          <w:szCs w:val="28"/>
        </w:rPr>
      </w:pPr>
    </w:p>
    <w:p w14:paraId="77018F88">
      <w:pPr>
        <w:pStyle w:val="21"/>
        <w:rPr>
          <w:rFonts w:hint="eastAsia" w:ascii="仿宋" w:hAnsi="仿宋" w:eastAsia="仿宋"/>
          <w:sz w:val="28"/>
          <w:szCs w:val="28"/>
        </w:rPr>
      </w:pPr>
    </w:p>
    <w:p w14:paraId="4C3864A7">
      <w:pPr>
        <w:pStyle w:val="21"/>
        <w:rPr>
          <w:rFonts w:hint="eastAsia" w:ascii="仿宋" w:hAnsi="仿宋" w:eastAsia="仿宋"/>
          <w:sz w:val="28"/>
          <w:szCs w:val="28"/>
        </w:rPr>
      </w:pPr>
    </w:p>
    <w:p w14:paraId="6BF25549">
      <w:pPr>
        <w:pStyle w:val="21"/>
        <w:rPr>
          <w:rFonts w:hint="eastAsia" w:ascii="仿宋" w:hAnsi="仿宋" w:eastAsia="仿宋"/>
          <w:sz w:val="28"/>
          <w:szCs w:val="28"/>
        </w:rPr>
      </w:pPr>
    </w:p>
    <w:p w14:paraId="570593C1">
      <w:pPr>
        <w:pStyle w:val="21"/>
        <w:rPr>
          <w:rFonts w:hint="eastAsia" w:ascii="仿宋" w:hAnsi="仿宋" w:eastAsia="仿宋"/>
          <w:sz w:val="28"/>
          <w:szCs w:val="28"/>
        </w:rPr>
      </w:pPr>
    </w:p>
    <w:p w14:paraId="34C761AC">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1</w:t>
      </w:r>
      <w:r>
        <w:rPr>
          <w:rFonts w:hint="eastAsia" w:ascii="仿宋" w:hAnsi="仿宋" w:eastAsia="仿宋"/>
          <w:sz w:val="28"/>
          <w:szCs w:val="24"/>
          <w:lang w:val="en-US" w:eastAsia="zh-CN"/>
        </w:rPr>
        <w:t xml:space="preserve">  </w:t>
      </w:r>
      <w:r>
        <w:rPr>
          <w:rFonts w:hint="eastAsia" w:ascii="仿宋" w:hAnsi="仿宋" w:eastAsia="仿宋"/>
          <w:sz w:val="28"/>
          <w:szCs w:val="24"/>
        </w:rPr>
        <w:t>廉政承诺书</w:t>
      </w: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241348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67D0B1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2DE833C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3C0014B2">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414EBA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21F2F71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EBF6BA2">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3C323D0C">
      <w:pPr>
        <w:spacing w:line="420" w:lineRule="exact"/>
        <w:rPr>
          <w:rFonts w:ascii="仿宋" w:hAnsi="仿宋" w:eastAsia="仿宋"/>
          <w:sz w:val="32"/>
          <w:szCs w:val="32"/>
        </w:rPr>
      </w:pPr>
    </w:p>
    <w:p w14:paraId="34A38EC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0426E87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50DF91D4">
      <w:pPr>
        <w:spacing w:line="420" w:lineRule="exact"/>
        <w:ind w:firstLine="1280" w:firstLineChars="400"/>
        <w:rPr>
          <w:rFonts w:hint="eastAsia" w:ascii="仿宋" w:hAnsi="仿宋" w:eastAsia="仿宋"/>
          <w:sz w:val="32"/>
          <w:szCs w:val="32"/>
        </w:rPr>
      </w:pPr>
      <w:r>
        <w:rPr>
          <w:rFonts w:hint="eastAsia" w:ascii="仿宋" w:hAnsi="仿宋" w:eastAsia="仿宋"/>
          <w:sz w:val="32"/>
          <w:szCs w:val="32"/>
        </w:rPr>
        <w:t>年    月    日</w:t>
      </w:r>
    </w:p>
    <w:p w14:paraId="087209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rPr>
      </w:pPr>
    </w:p>
    <w:p w14:paraId="0F2ABC74">
      <w:pPr>
        <w:pStyle w:val="21"/>
      </w:pPr>
    </w:p>
    <w:p w14:paraId="56B8074B">
      <w:pPr>
        <w:spacing w:line="50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 xml:space="preserve">  投标人承诺函</w:t>
      </w:r>
    </w:p>
    <w:p w14:paraId="57CDF659">
      <w:pPr>
        <w:spacing w:line="500" w:lineRule="exact"/>
        <w:rPr>
          <w:rFonts w:ascii="仿宋" w:hAnsi="仿宋" w:eastAsia="仿宋"/>
          <w:sz w:val="32"/>
          <w:szCs w:val="32"/>
        </w:rPr>
      </w:pPr>
    </w:p>
    <w:p w14:paraId="1ECCFC63">
      <w:pPr>
        <w:spacing w:line="500" w:lineRule="exact"/>
        <w:ind w:firstLine="2560" w:firstLineChars="800"/>
        <w:rPr>
          <w:rFonts w:ascii="仿宋" w:hAnsi="仿宋" w:eastAsia="仿宋"/>
          <w:sz w:val="32"/>
          <w:szCs w:val="32"/>
        </w:rPr>
      </w:pPr>
      <w:r>
        <w:rPr>
          <w:rFonts w:hint="eastAsia" w:ascii="仿宋" w:hAnsi="仿宋" w:eastAsia="仿宋"/>
          <w:sz w:val="32"/>
          <w:szCs w:val="32"/>
        </w:rPr>
        <w:t>投标人承诺函</w:t>
      </w:r>
    </w:p>
    <w:p w14:paraId="2A63E872">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项目名称：             </w:t>
      </w:r>
    </w:p>
    <w:p w14:paraId="35477769">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日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期：             </w:t>
      </w:r>
    </w:p>
    <w:p w14:paraId="32C91111">
      <w:pPr>
        <w:spacing w:line="500" w:lineRule="exact"/>
        <w:rPr>
          <w:rFonts w:ascii="仿宋" w:hAnsi="仿宋" w:eastAsia="仿宋"/>
          <w:sz w:val="32"/>
          <w:szCs w:val="32"/>
        </w:rPr>
      </w:pPr>
      <w:r>
        <w:rPr>
          <w:rFonts w:hint="eastAsia" w:ascii="仿宋" w:hAnsi="仿宋" w:eastAsia="仿宋"/>
          <w:sz w:val="32"/>
          <w:szCs w:val="32"/>
        </w:rPr>
        <w:t>致：(招标机构名称)</w:t>
      </w:r>
    </w:p>
    <w:p w14:paraId="14588EB3">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(招标人名称)  </w:t>
      </w:r>
    </w:p>
    <w:p w14:paraId="7F8B5E39">
      <w:pPr>
        <w:spacing w:line="500" w:lineRule="exact"/>
        <w:ind w:firstLine="640" w:firstLineChars="200"/>
        <w:rPr>
          <w:rFonts w:ascii="仿宋" w:hAnsi="仿宋" w:eastAsia="仿宋"/>
          <w:sz w:val="32"/>
          <w:szCs w:val="32"/>
        </w:rPr>
      </w:pPr>
      <w:r>
        <w:rPr>
          <w:rFonts w:hint="eastAsia" w:ascii="仿宋" w:hAnsi="仿宋" w:eastAsia="仿宋"/>
          <w:sz w:val="32"/>
          <w:szCs w:val="32"/>
        </w:rPr>
        <w:t>很荣幸能参与上述项目的投标。</w:t>
      </w:r>
    </w:p>
    <w:p w14:paraId="55904F3E">
      <w:pPr>
        <w:spacing w:line="500" w:lineRule="exact"/>
        <w:ind w:firstLine="640" w:firstLineChars="200"/>
        <w:rPr>
          <w:rFonts w:ascii="仿宋" w:hAnsi="仿宋" w:eastAsia="仿宋"/>
          <w:sz w:val="32"/>
          <w:szCs w:val="32"/>
        </w:rPr>
      </w:pPr>
      <w:r>
        <w:rPr>
          <w:rFonts w:hint="eastAsia" w:ascii="仿宋" w:hAnsi="仿宋" w:eastAsia="仿宋"/>
          <w:sz w:val="32"/>
          <w:szCs w:val="32"/>
        </w:rPr>
        <w:t>我代表(投标人名称)，在此作如下承诺：</w:t>
      </w:r>
    </w:p>
    <w:p w14:paraId="1A9BDF05">
      <w:pPr>
        <w:spacing w:line="500" w:lineRule="exact"/>
        <w:ind w:firstLine="640" w:firstLineChars="200"/>
        <w:rPr>
          <w:rFonts w:ascii="仿宋" w:hAnsi="仿宋" w:eastAsia="仿宋"/>
          <w:sz w:val="32"/>
          <w:szCs w:val="32"/>
        </w:rPr>
      </w:pPr>
      <w:r>
        <w:rPr>
          <w:rFonts w:hint="eastAsia" w:ascii="仿宋" w:hAnsi="仿宋" w:eastAsia="仿宋"/>
          <w:sz w:val="32"/>
          <w:szCs w:val="32"/>
        </w:rPr>
        <w:t>1、完全理解和接受招标文件的一切规定和要求。</w:t>
      </w:r>
    </w:p>
    <w:p w14:paraId="4D0462A1">
      <w:pPr>
        <w:spacing w:line="500" w:lineRule="exact"/>
        <w:ind w:firstLine="640" w:firstLineChars="200"/>
        <w:rPr>
          <w:rFonts w:ascii="仿宋" w:hAnsi="仿宋" w:eastAsia="仿宋"/>
          <w:sz w:val="32"/>
          <w:szCs w:val="32"/>
        </w:rPr>
      </w:pPr>
      <w:r>
        <w:rPr>
          <w:rFonts w:hint="eastAsia" w:ascii="仿宋" w:hAnsi="仿宋" w:eastAsia="仿宋"/>
          <w:sz w:val="32"/>
          <w:szCs w:val="32"/>
        </w:rPr>
        <w:t>2、投标报价在投标有效期和合同有效期内，该报价固定不变。</w:t>
      </w:r>
    </w:p>
    <w:p w14:paraId="5FBC4361">
      <w:pPr>
        <w:spacing w:line="500" w:lineRule="exact"/>
        <w:ind w:firstLine="640" w:firstLineChars="200"/>
        <w:rPr>
          <w:rFonts w:ascii="仿宋" w:hAnsi="仿宋" w:eastAsia="仿宋"/>
          <w:sz w:val="32"/>
          <w:szCs w:val="32"/>
        </w:rPr>
      </w:pPr>
      <w:r>
        <w:rPr>
          <w:rFonts w:hint="eastAsia" w:ascii="仿宋" w:hAnsi="仿宋" w:eastAsia="仿宋"/>
          <w:sz w:val="32"/>
          <w:szCs w:val="32"/>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8189899">
      <w:pPr>
        <w:spacing w:line="500" w:lineRule="exact"/>
        <w:ind w:firstLine="640" w:firstLineChars="200"/>
        <w:rPr>
          <w:rFonts w:ascii="仿宋" w:hAnsi="仿宋" w:eastAsia="仿宋"/>
          <w:sz w:val="32"/>
          <w:szCs w:val="32"/>
        </w:rPr>
      </w:pPr>
      <w:r>
        <w:rPr>
          <w:rFonts w:hint="eastAsia" w:ascii="仿宋" w:hAnsi="仿宋" w:eastAsia="仿宋"/>
          <w:sz w:val="32"/>
          <w:szCs w:val="32"/>
        </w:rPr>
        <w:t>4、在整个招标过程中，我方若有违规行为，贵方可按招标文件之规定给予处理，我方完全接受。</w:t>
      </w:r>
    </w:p>
    <w:p w14:paraId="3ABA7E48">
      <w:pPr>
        <w:spacing w:line="500" w:lineRule="exact"/>
        <w:ind w:firstLine="640" w:firstLineChars="200"/>
        <w:rPr>
          <w:rFonts w:ascii="仿宋" w:hAnsi="仿宋" w:eastAsia="仿宋"/>
          <w:sz w:val="32"/>
          <w:szCs w:val="32"/>
        </w:rPr>
      </w:pPr>
      <w:r>
        <w:rPr>
          <w:rFonts w:hint="eastAsia" w:ascii="仿宋" w:hAnsi="仿宋" w:eastAsia="仿宋"/>
          <w:sz w:val="32"/>
          <w:szCs w:val="32"/>
        </w:rPr>
        <w:t>5、若中标，本承诺函将成为合同不可分割的一部分，与合同具有同等的法律效力。</w:t>
      </w:r>
    </w:p>
    <w:p w14:paraId="0597E160">
      <w:pPr>
        <w:spacing w:line="500" w:lineRule="exact"/>
        <w:rPr>
          <w:rFonts w:ascii="仿宋" w:hAnsi="仿宋" w:eastAsia="仿宋"/>
          <w:sz w:val="32"/>
          <w:szCs w:val="32"/>
        </w:rPr>
      </w:pPr>
    </w:p>
    <w:p w14:paraId="6F150BEE">
      <w:pPr>
        <w:spacing w:line="500" w:lineRule="exact"/>
        <w:ind w:firstLine="6400" w:firstLineChars="2000"/>
        <w:rPr>
          <w:rFonts w:ascii="仿宋" w:hAnsi="仿宋" w:eastAsia="仿宋"/>
          <w:sz w:val="32"/>
          <w:szCs w:val="32"/>
        </w:rPr>
      </w:pPr>
      <w:r>
        <w:rPr>
          <w:rFonts w:hint="eastAsia" w:ascii="仿宋" w:hAnsi="仿宋" w:eastAsia="仿宋"/>
          <w:sz w:val="32"/>
          <w:szCs w:val="32"/>
        </w:rPr>
        <w:t xml:space="preserve">投标人代表签字：               </w:t>
      </w:r>
    </w:p>
    <w:p w14:paraId="02628A58">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投标人公章： </w:t>
      </w:r>
    </w:p>
    <w:p w14:paraId="0A78BC12">
      <w:pPr>
        <w:spacing w:line="500" w:lineRule="exact"/>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日期：</w:t>
      </w:r>
    </w:p>
    <w:p w14:paraId="0B2D710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3DACED00">
      <w:pPr>
        <w:spacing w:line="500" w:lineRule="exact"/>
        <w:ind w:firstLine="560" w:firstLineChars="200"/>
        <w:rPr>
          <w:rFonts w:ascii="仿宋" w:hAnsi="仿宋" w:eastAsia="仿宋"/>
          <w:sz w:val="28"/>
          <w:szCs w:val="28"/>
        </w:rPr>
      </w:pPr>
    </w:p>
    <w:p w14:paraId="67CF7D69">
      <w:pPr>
        <w:spacing w:line="500" w:lineRule="exact"/>
        <w:rPr>
          <w:rFonts w:hint="eastAsia" w:ascii="仿宋" w:hAnsi="仿宋" w:eastAsia="仿宋" w:cs="仿宋"/>
          <w:sz w:val="32"/>
          <w:szCs w:val="32"/>
        </w:rPr>
      </w:pPr>
    </w:p>
    <w:p w14:paraId="793F572D">
      <w:pPr>
        <w:pStyle w:val="43"/>
        <w:spacing w:line="240" w:lineRule="auto"/>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color w:val="000000" w:themeColor="text1"/>
          <w:sz w:val="32"/>
          <w:szCs w:val="32"/>
          <w14:textFill>
            <w14:solidFill>
              <w14:schemeClr w14:val="tx1"/>
            </w14:solidFill>
          </w14:textFill>
        </w:rPr>
        <w:t>附件3</w:t>
      </w:r>
      <w:r>
        <w:rPr>
          <w:rFonts w:hint="eastAsia" w:ascii="仿宋" w:hAnsi="仿宋" w:eastAsia="仿宋" w:cs="仿宋"/>
          <w:snapToGrid/>
          <w:color w:val="000000" w:themeColor="text1"/>
          <w:sz w:val="32"/>
          <w:szCs w:val="32"/>
          <w:lang w:val="en-US" w:eastAsia="zh-CN"/>
          <w14:textFill>
            <w14:solidFill>
              <w14:schemeClr w14:val="tx1"/>
            </w14:solidFill>
          </w14:textFill>
        </w:rPr>
        <w:t xml:space="preserve">  </w:t>
      </w:r>
      <w:r>
        <w:rPr>
          <w:rFonts w:hint="eastAsia" w:ascii="仿宋" w:hAnsi="仿宋" w:eastAsia="仿宋" w:cs="仿宋"/>
          <w:snapToGrid/>
          <w:color w:val="000000" w:themeColor="text1"/>
          <w:sz w:val="32"/>
          <w:szCs w:val="32"/>
          <w14:textFill>
            <w14:solidFill>
              <w14:schemeClr w14:val="tx1"/>
            </w14:solidFill>
          </w14:textFill>
        </w:rPr>
        <w:t>投标人法定代表人授权书</w:t>
      </w:r>
    </w:p>
    <w:p w14:paraId="47F3811B">
      <w:pPr>
        <w:pStyle w:val="43"/>
        <w:spacing w:line="240" w:lineRule="auto"/>
        <w:rPr>
          <w:rFonts w:hint="eastAsia" w:ascii="仿宋" w:hAnsi="仿宋" w:eastAsia="仿宋" w:cs="仿宋"/>
          <w:snapToGrid/>
          <w:color w:val="000000" w:themeColor="text1"/>
          <w:sz w:val="32"/>
          <w:szCs w:val="32"/>
          <w14:textFill>
            <w14:solidFill>
              <w14:schemeClr w14:val="tx1"/>
            </w14:solidFill>
          </w14:textFill>
        </w:rPr>
      </w:pPr>
    </w:p>
    <w:p w14:paraId="20893C23">
      <w:pPr>
        <w:pStyle w:val="43"/>
        <w:rPr>
          <w:rFonts w:hint="eastAsia" w:ascii="仿宋" w:hAnsi="仿宋" w:eastAsia="仿宋" w:cs="仿宋"/>
          <w:b/>
          <w:bCs/>
          <w:snapToGrid/>
          <w:color w:val="000000" w:themeColor="text1"/>
          <w:sz w:val="32"/>
          <w:szCs w:val="32"/>
          <w14:textFill>
            <w14:solidFill>
              <w14:schemeClr w14:val="tx1"/>
            </w14:solidFill>
          </w14:textFill>
        </w:rPr>
      </w:pPr>
      <w:r>
        <w:rPr>
          <w:rFonts w:hint="eastAsia" w:ascii="仿宋" w:hAnsi="仿宋" w:eastAsia="仿宋" w:cs="仿宋"/>
          <w:b/>
          <w:bCs/>
          <w:snapToGrid/>
          <w:color w:val="000000" w:themeColor="text1"/>
          <w:sz w:val="32"/>
          <w:szCs w:val="32"/>
          <w14:textFill>
            <w14:solidFill>
              <w14:schemeClr w14:val="tx1"/>
            </w14:solidFill>
          </w14:textFill>
        </w:rPr>
        <w:t>投标人法定代表人授权书</w:t>
      </w:r>
    </w:p>
    <w:p w14:paraId="0FA16C8B">
      <w:pPr>
        <w:rPr>
          <w:rFonts w:hint="eastAsia" w:ascii="仿宋" w:hAnsi="仿宋" w:eastAsia="仿宋" w:cs="仿宋"/>
          <w:color w:val="000000" w:themeColor="text1"/>
          <w:sz w:val="32"/>
          <w:szCs w:val="32"/>
          <w14:textFill>
            <w14:solidFill>
              <w14:schemeClr w14:val="tx1"/>
            </w14:solidFill>
          </w14:textFill>
        </w:rPr>
      </w:pPr>
    </w:p>
    <w:p w14:paraId="1FF4A602">
      <w:pPr>
        <w:ind w:firstLine="6080" w:firstLineChars="19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项目名称：</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00082E7A">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日    期：</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25E3DC37">
      <w:pPr>
        <w:spacing w:line="360" w:lineRule="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万基控股集团有限公司</w:t>
      </w:r>
      <w:r>
        <w:rPr>
          <w:rFonts w:hint="eastAsia" w:ascii="仿宋" w:hAnsi="仿宋" w:eastAsia="仿宋" w:cs="仿宋"/>
          <w:color w:val="000000" w:themeColor="text1"/>
          <w:sz w:val="32"/>
          <w:szCs w:val="32"/>
          <w:lang w:val="en-US" w:eastAsia="zh-CN"/>
          <w14:textFill>
            <w14:solidFill>
              <w14:schemeClr w14:val="tx1"/>
            </w14:solidFill>
          </w14:textFill>
        </w:rPr>
        <w:t>招标办</w:t>
      </w:r>
      <w:r>
        <w:rPr>
          <w:rFonts w:hint="eastAsia" w:ascii="仿宋" w:hAnsi="仿宋" w:eastAsia="仿宋" w:cs="仿宋"/>
          <w:color w:val="000000" w:themeColor="text1"/>
          <w:sz w:val="32"/>
          <w:szCs w:val="32"/>
          <w14:textFill>
            <w14:solidFill>
              <w14:schemeClr w14:val="tx1"/>
            </w14:solidFill>
          </w14:textFill>
        </w:rPr>
        <w:t>：</w:t>
      </w:r>
    </w:p>
    <w:p w14:paraId="271BD450">
      <w:pPr>
        <w:spacing w:line="36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u w:val="single"/>
          <w14:textFill>
            <w14:solidFill>
              <w14:schemeClr w14:val="tx1"/>
            </w14:solidFill>
          </w14:textFill>
        </w:rPr>
        <w:t xml:space="preserve">投标人名称 </w:t>
      </w:r>
      <w:r>
        <w:rPr>
          <w:rFonts w:hint="eastAsia" w:ascii="仿宋" w:hAnsi="仿宋" w:eastAsia="仿宋" w:cs="仿宋"/>
          <w:color w:val="000000" w:themeColor="text1"/>
          <w:sz w:val="32"/>
          <w:szCs w:val="32"/>
          <w14:textFill>
            <w14:solidFill>
              <w14:schemeClr w14:val="tx1"/>
            </w14:solidFill>
          </w14:textFill>
        </w:rPr>
        <w:t>)是中华人民共和国合法企业，法定地址：</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    </w:t>
      </w:r>
    </w:p>
    <w:p w14:paraId="0D5426EE">
      <w:pPr>
        <w:spacing w:line="36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u w:val="single"/>
          <w14:textFill>
            <w14:solidFill>
              <w14:schemeClr w14:val="tx1"/>
            </w14:solidFill>
          </w14:textFill>
        </w:rPr>
        <w:t>授权人姓名</w:t>
      </w:r>
      <w:r>
        <w:rPr>
          <w:rFonts w:hint="eastAsia" w:ascii="仿宋" w:hAnsi="仿宋" w:eastAsia="仿宋" w:cs="仿宋"/>
          <w:color w:val="000000" w:themeColor="text1"/>
          <w:sz w:val="32"/>
          <w:szCs w:val="32"/>
          <w14:textFill>
            <w14:solidFill>
              <w14:schemeClr w14:val="tx1"/>
            </w14:solidFill>
          </w14:textFill>
        </w:rPr>
        <w:t xml:space="preserve"> )特授权(</w:t>
      </w:r>
      <w:r>
        <w:rPr>
          <w:rFonts w:hint="eastAsia" w:ascii="仿宋" w:hAnsi="仿宋" w:eastAsia="仿宋" w:cs="仿宋"/>
          <w:color w:val="000000" w:themeColor="text1"/>
          <w:sz w:val="32"/>
          <w:szCs w:val="32"/>
          <w:u w:val="single"/>
          <w14:textFill>
            <w14:solidFill>
              <w14:schemeClr w14:val="tx1"/>
            </w14:solidFill>
          </w14:textFill>
        </w:rPr>
        <w:t>被授权人姓名</w:t>
      </w:r>
      <w:r>
        <w:rPr>
          <w:rFonts w:hint="eastAsia" w:ascii="仿宋" w:hAnsi="仿宋" w:eastAsia="仿宋" w:cs="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6E1CB96C">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3A6BBD69">
      <w:pPr>
        <w:spacing w:line="360" w:lineRule="auto"/>
        <w:rPr>
          <w:rFonts w:hint="eastAsia" w:ascii="仿宋" w:hAnsi="仿宋" w:eastAsia="仿宋" w:cs="仿宋"/>
          <w:color w:val="000000" w:themeColor="text1"/>
          <w:sz w:val="32"/>
          <w:szCs w:val="32"/>
          <w14:textFill>
            <w14:solidFill>
              <w14:schemeClr w14:val="tx1"/>
            </w14:solidFill>
          </w14:textFill>
        </w:rPr>
      </w:pPr>
    </w:p>
    <w:p w14:paraId="6CC51069">
      <w:pPr>
        <w:spacing w:line="640" w:lineRule="exact"/>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被授权人签名：</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授权人签名：</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7B54BB2A">
      <w:pPr>
        <w:spacing w:line="640" w:lineRule="exact"/>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职        务：</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职      务：</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6617098E">
      <w:pPr>
        <w:spacing w:line="640" w:lineRule="exact"/>
        <w:ind w:left="72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投标人公章：</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w:t>
      </w:r>
    </w:p>
    <w:p w14:paraId="50F60876">
      <w:pPr>
        <w:spacing w:line="700" w:lineRule="exact"/>
        <w:rPr>
          <w:rFonts w:hint="eastAsia" w:ascii="仿宋" w:hAnsi="仿宋" w:eastAsia="仿宋" w:cs="仿宋"/>
          <w:sz w:val="32"/>
          <w:szCs w:val="32"/>
        </w:rPr>
      </w:pPr>
    </w:p>
    <w:p w14:paraId="6733696A">
      <w:pPr>
        <w:spacing w:line="700" w:lineRule="exact"/>
        <w:rPr>
          <w:rFonts w:hint="eastAsia" w:ascii="仿宋" w:hAnsi="仿宋" w:eastAsia="仿宋" w:cs="仿宋"/>
          <w:sz w:val="32"/>
          <w:szCs w:val="32"/>
        </w:rPr>
      </w:pPr>
    </w:p>
    <w:p w14:paraId="7CE96D95">
      <w:pPr>
        <w:spacing w:line="700" w:lineRule="exact"/>
        <w:rPr>
          <w:rFonts w:hint="eastAsia" w:ascii="仿宋" w:hAnsi="仿宋" w:eastAsia="仿宋" w:cs="仿宋"/>
          <w:sz w:val="32"/>
          <w:szCs w:val="32"/>
        </w:rPr>
      </w:pPr>
    </w:p>
    <w:p w14:paraId="167EB5E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sz w:val="30"/>
          <w:szCs w:val="30"/>
        </w:rPr>
      </w:pPr>
      <w:r>
        <w:rPr>
          <w:rFonts w:hint="eastAsia" w:ascii="仿宋" w:hAnsi="仿宋" w:eastAsia="仿宋"/>
          <w:sz w:val="30"/>
          <w:szCs w:val="30"/>
        </w:rPr>
        <w:t>附件</w:t>
      </w:r>
      <w:r>
        <w:rPr>
          <w:rFonts w:ascii="仿宋" w:hAnsi="仿宋" w:eastAsia="仿宋"/>
          <w:sz w:val="30"/>
          <w:szCs w:val="30"/>
        </w:rPr>
        <w:t>4</w:t>
      </w:r>
      <w:r>
        <w:rPr>
          <w:rFonts w:hint="eastAsia" w:ascii="仿宋" w:hAnsi="仿宋" w:eastAsia="仿宋"/>
          <w:sz w:val="30"/>
          <w:szCs w:val="30"/>
        </w:rPr>
        <w:t xml:space="preserve">  报价单格式</w:t>
      </w:r>
    </w:p>
    <w:p w14:paraId="2C9F0C3A">
      <w:pPr>
        <w:pStyle w:val="22"/>
        <w:bidi w:val="0"/>
        <w:rPr>
          <w:rFonts w:hint="eastAsia"/>
        </w:rPr>
      </w:pPr>
    </w:p>
    <w:p w14:paraId="5A5660E6">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b/>
          <w:bCs/>
          <w:color w:val="auto"/>
          <w:sz w:val="44"/>
          <w:szCs w:val="44"/>
          <w:lang w:val="en-US" w:eastAsia="zh-CN"/>
        </w:rPr>
        <w:t>万基铝加工铸轧厂保温炉提升式炉门驱动</w:t>
      </w:r>
      <w:r>
        <w:rPr>
          <w:rFonts w:hint="eastAsia" w:ascii="宋体" w:hAnsi="宋体" w:cs="宋体"/>
          <w:b/>
          <w:bCs/>
          <w:color w:val="auto"/>
          <w:sz w:val="44"/>
          <w:szCs w:val="44"/>
          <w:lang w:val="en-US" w:eastAsia="zh-CN"/>
        </w:rPr>
        <w:t>改造</w:t>
      </w:r>
      <w:r>
        <w:rPr>
          <w:rFonts w:hint="eastAsia" w:ascii="宋体" w:hAnsi="宋体" w:eastAsia="宋体" w:cs="宋体"/>
          <w:b/>
          <w:bCs/>
          <w:color w:val="auto"/>
          <w:sz w:val="44"/>
          <w:szCs w:val="44"/>
          <w:lang w:val="en-US" w:eastAsia="zh-CN"/>
        </w:rPr>
        <w:t>项目</w:t>
      </w:r>
      <w:r>
        <w:rPr>
          <w:rFonts w:hint="eastAsia" w:ascii="宋体" w:hAnsi="宋体" w:eastAsia="宋体" w:cs="宋体"/>
          <w:b/>
          <w:bCs/>
          <w:color w:val="auto"/>
          <w:sz w:val="44"/>
          <w:szCs w:val="44"/>
        </w:rPr>
        <w:t>投标报价</w:t>
      </w:r>
      <w:r>
        <w:rPr>
          <w:rFonts w:hint="eastAsia" w:ascii="宋体" w:hAnsi="宋体" w:eastAsia="宋体" w:cs="宋体"/>
          <w:b/>
          <w:bCs/>
          <w:color w:val="auto"/>
          <w:sz w:val="44"/>
          <w:szCs w:val="44"/>
          <w:lang w:eastAsia="zh-CN"/>
        </w:rPr>
        <w:t>总表</w:t>
      </w:r>
      <w:r>
        <w:rPr>
          <w:rFonts w:hint="eastAsia" w:ascii="宋体" w:hAnsi="宋体" w:eastAsia="宋体" w:cs="宋体"/>
          <w:b/>
          <w:bCs/>
          <w:color w:val="auto"/>
          <w:sz w:val="44"/>
          <w:szCs w:val="44"/>
          <w:lang w:val="en-US" w:eastAsia="zh-CN"/>
        </w:rPr>
        <w:t xml:space="preserve"> </w:t>
      </w:r>
    </w:p>
    <w:p w14:paraId="1EEEE58D">
      <w:pPr>
        <w:pStyle w:val="23"/>
        <w:ind w:left="0" w:leftChars="0" w:firstLine="0" w:firstLineChars="0"/>
        <w:rPr>
          <w:rFonts w:hint="eastAsia"/>
          <w:lang w:val="en-US" w:eastAsia="zh-CN"/>
        </w:rPr>
      </w:pPr>
    </w:p>
    <w:p w14:paraId="3DB1D18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0"/>
          <w:szCs w:val="40"/>
          <w:lang w:val="en-US" w:eastAsia="zh-CN"/>
        </w:rPr>
      </w:pPr>
      <w:r>
        <w:rPr>
          <w:rFonts w:hint="eastAsia" w:ascii="宋体" w:hAnsi="宋体" w:eastAsia="宋体" w:cs="Arial"/>
          <w:sz w:val="22"/>
          <w:szCs w:val="22"/>
          <w:lang w:val="en-US" w:eastAsia="zh-CN"/>
        </w:rPr>
        <w:t>投标</w:t>
      </w:r>
      <w:r>
        <w:rPr>
          <w:rFonts w:hint="eastAsia" w:ascii="宋体" w:hAnsi="宋体" w:cs="Arial"/>
          <w:sz w:val="22"/>
          <w:szCs w:val="22"/>
          <w:lang w:val="en-US" w:eastAsia="zh-CN"/>
        </w:rPr>
        <w:t>总</w:t>
      </w:r>
      <w:r>
        <w:rPr>
          <w:rFonts w:hint="eastAsia" w:ascii="宋体" w:hAnsi="宋体" w:eastAsia="宋体" w:cs="Arial"/>
          <w:sz w:val="22"/>
          <w:szCs w:val="22"/>
          <w:lang w:val="en-US" w:eastAsia="zh-CN"/>
        </w:rPr>
        <w:t xml:space="preserve">报价： </w:t>
      </w:r>
      <w:r>
        <w:rPr>
          <w:rFonts w:hint="eastAsia" w:ascii="宋体" w:hAnsi="宋体" w:cs="Arial"/>
          <w:sz w:val="22"/>
          <w:szCs w:val="22"/>
          <w:u w:val="single"/>
          <w:lang w:val="en-US" w:eastAsia="zh-CN"/>
        </w:rPr>
        <w:t xml:space="preserve">                          万元</w:t>
      </w:r>
      <w:r>
        <w:rPr>
          <w:rFonts w:hint="eastAsia" w:ascii="宋体" w:hAnsi="宋体" w:cs="Arial"/>
          <w:sz w:val="22"/>
          <w:szCs w:val="22"/>
          <w:u w:val="none"/>
          <w:lang w:val="en-US" w:eastAsia="zh-CN"/>
        </w:rPr>
        <w:t xml:space="preserve">  </w:t>
      </w:r>
      <w:r>
        <w:rPr>
          <w:rFonts w:hint="eastAsia" w:ascii="宋体" w:hAnsi="宋体" w:cs="Arial"/>
          <w:sz w:val="20"/>
          <w:szCs w:val="20"/>
          <w:u w:val="none"/>
          <w:lang w:val="en-US" w:eastAsia="zh-CN"/>
        </w:rPr>
        <w:t xml:space="preserve">   </w:t>
      </w:r>
      <w:r>
        <w:rPr>
          <w:rFonts w:hint="eastAsia" w:ascii="仿宋" w:hAnsi="仿宋" w:eastAsia="仿宋"/>
          <w:b/>
          <w:bCs/>
          <w:color w:val="auto"/>
          <w:sz w:val="40"/>
          <w:szCs w:val="40"/>
          <w:lang w:val="en-US" w:eastAsia="zh-CN"/>
        </w:rPr>
        <w:t xml:space="preserve"> </w:t>
      </w:r>
    </w:p>
    <w:tbl>
      <w:tblPr>
        <w:tblStyle w:val="45"/>
        <w:tblW w:w="95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088"/>
        <w:gridCol w:w="1600"/>
        <w:gridCol w:w="1167"/>
        <w:gridCol w:w="1517"/>
        <w:gridCol w:w="1683"/>
        <w:gridCol w:w="825"/>
      </w:tblGrid>
      <w:tr w14:paraId="3BEA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3CBCD2A5">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序号</w:t>
            </w:r>
          </w:p>
        </w:tc>
        <w:tc>
          <w:tcPr>
            <w:tcW w:w="2088" w:type="dxa"/>
            <w:noWrap w:val="0"/>
            <w:vAlign w:val="center"/>
          </w:tcPr>
          <w:p w14:paraId="4D4FBEB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项目名称</w:t>
            </w:r>
          </w:p>
        </w:tc>
        <w:tc>
          <w:tcPr>
            <w:tcW w:w="1600" w:type="dxa"/>
            <w:noWrap w:val="0"/>
            <w:vAlign w:val="center"/>
          </w:tcPr>
          <w:p w14:paraId="7B9925A9">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规格</w:t>
            </w:r>
          </w:p>
        </w:tc>
        <w:tc>
          <w:tcPr>
            <w:tcW w:w="1167" w:type="dxa"/>
            <w:noWrap w:val="0"/>
            <w:vAlign w:val="center"/>
          </w:tcPr>
          <w:p w14:paraId="54FCC453">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数量</w:t>
            </w:r>
          </w:p>
        </w:tc>
        <w:tc>
          <w:tcPr>
            <w:tcW w:w="1517" w:type="dxa"/>
            <w:noWrap w:val="0"/>
            <w:vAlign w:val="center"/>
          </w:tcPr>
          <w:p w14:paraId="500CC84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单价（万元）</w:t>
            </w:r>
          </w:p>
        </w:tc>
        <w:tc>
          <w:tcPr>
            <w:tcW w:w="1683" w:type="dxa"/>
            <w:noWrap w:val="0"/>
            <w:vAlign w:val="center"/>
          </w:tcPr>
          <w:p w14:paraId="6E69E1BE">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总价（万元）</w:t>
            </w:r>
          </w:p>
        </w:tc>
        <w:tc>
          <w:tcPr>
            <w:tcW w:w="825" w:type="dxa"/>
            <w:noWrap w:val="0"/>
            <w:vAlign w:val="center"/>
          </w:tcPr>
          <w:p w14:paraId="00BA5D0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备注</w:t>
            </w:r>
          </w:p>
        </w:tc>
      </w:tr>
      <w:tr w14:paraId="493C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9" w:type="dxa"/>
            <w:noWrap w:val="0"/>
            <w:vAlign w:val="center"/>
          </w:tcPr>
          <w:p w14:paraId="5B98111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1</w:t>
            </w:r>
          </w:p>
        </w:tc>
        <w:tc>
          <w:tcPr>
            <w:tcW w:w="2088" w:type="dxa"/>
            <w:noWrap w:val="0"/>
            <w:vAlign w:val="center"/>
          </w:tcPr>
          <w:p w14:paraId="2BE2630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保温炉提升式炉门驱动改造</w:t>
            </w:r>
          </w:p>
        </w:tc>
        <w:tc>
          <w:tcPr>
            <w:tcW w:w="1600" w:type="dxa"/>
            <w:noWrap w:val="0"/>
            <w:vAlign w:val="center"/>
          </w:tcPr>
          <w:p w14:paraId="37EE7C7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详见技术要求</w:t>
            </w:r>
          </w:p>
        </w:tc>
        <w:tc>
          <w:tcPr>
            <w:tcW w:w="1167" w:type="dxa"/>
            <w:noWrap w:val="0"/>
            <w:vAlign w:val="center"/>
          </w:tcPr>
          <w:p w14:paraId="4A2CD1D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6套</w:t>
            </w:r>
          </w:p>
        </w:tc>
        <w:tc>
          <w:tcPr>
            <w:tcW w:w="1517" w:type="dxa"/>
            <w:noWrap w:val="0"/>
            <w:vAlign w:val="center"/>
          </w:tcPr>
          <w:p w14:paraId="44E01341">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683" w:type="dxa"/>
            <w:noWrap w:val="0"/>
            <w:vAlign w:val="center"/>
          </w:tcPr>
          <w:p w14:paraId="6E5ABD8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825" w:type="dxa"/>
            <w:noWrap w:val="0"/>
            <w:vAlign w:val="center"/>
          </w:tcPr>
          <w:p w14:paraId="63FCDC4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p>
        </w:tc>
      </w:tr>
      <w:tr w14:paraId="317C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519" w:type="dxa"/>
            <w:gridSpan w:val="7"/>
            <w:noWrap w:val="0"/>
            <w:vAlign w:val="center"/>
          </w:tcPr>
          <w:p w14:paraId="03ED6819">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 xml:space="preserve">合计（人民币）大写：          </w:t>
            </w:r>
            <w:r>
              <w:rPr>
                <w:rFonts w:hint="eastAsia" w:ascii="宋体" w:hAnsi="宋体" w:cs="Arial"/>
                <w:sz w:val="21"/>
                <w:szCs w:val="21"/>
                <w:lang w:val="en-US" w:eastAsia="zh-CN"/>
              </w:rPr>
              <w:t xml:space="preserve">                    </w:t>
            </w:r>
          </w:p>
        </w:tc>
      </w:tr>
      <w:tr w14:paraId="4BD6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519" w:type="dxa"/>
            <w:gridSpan w:val="7"/>
            <w:noWrap w:val="0"/>
            <w:vAlign w:val="center"/>
          </w:tcPr>
          <w:p w14:paraId="5187ABB6">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备注：各投标单位需按技术要求列出分项报价，如不能详细列出，不予评标。</w:t>
            </w:r>
          </w:p>
        </w:tc>
      </w:tr>
    </w:tbl>
    <w:p w14:paraId="6C04002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报价说明：</w:t>
      </w:r>
    </w:p>
    <w:p w14:paraId="6E31854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u w:val="none"/>
          <w:lang w:val="en-US" w:eastAsia="zh-CN"/>
        </w:rPr>
      </w:pPr>
      <w:r>
        <w:rPr>
          <w:rFonts w:hint="eastAsia" w:ascii="仿宋" w:hAnsi="仿宋" w:eastAsia="仿宋" w:cs="仿宋"/>
          <w:b w:val="0"/>
          <w:bCs w:val="0"/>
          <w:color w:val="auto"/>
          <w:sz w:val="30"/>
          <w:szCs w:val="30"/>
          <w:u w:val="none"/>
          <w:lang w:val="en-US" w:eastAsia="zh-CN"/>
        </w:rPr>
        <w:t>1、招标文件及合同条款、技术要求我公司已仔细阅读，完全响应；</w:t>
      </w:r>
    </w:p>
    <w:p w14:paraId="05246458">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2、交货期</w:t>
      </w:r>
      <w:r>
        <w:rPr>
          <w:rFonts w:hint="eastAsia" w:ascii="仿宋" w:hAnsi="仿宋" w:eastAsia="仿宋" w:cs="仿宋"/>
          <w:b w:val="0"/>
          <w:bCs w:val="0"/>
          <w:color w:val="auto"/>
          <w:sz w:val="30"/>
          <w:szCs w:val="30"/>
        </w:rPr>
        <w:t>：合同签订生效后</w:t>
      </w:r>
      <w:r>
        <w:rPr>
          <w:rFonts w:hint="eastAsia" w:ascii="仿宋" w:hAnsi="仿宋" w:eastAsia="仿宋" w:cs="仿宋"/>
          <w:b w:val="0"/>
          <w:bCs w:val="0"/>
          <w:color w:val="auto"/>
          <w:sz w:val="30"/>
          <w:szCs w:val="30"/>
          <w:u w:val="single"/>
        </w:rPr>
        <w:t xml:space="preserve">     </w:t>
      </w:r>
      <w:r>
        <w:rPr>
          <w:rFonts w:hint="eastAsia" w:ascii="仿宋" w:hAnsi="仿宋" w:eastAsia="仿宋" w:cs="仿宋"/>
          <w:b w:val="0"/>
          <w:bCs w:val="0"/>
          <w:color w:val="auto"/>
          <w:sz w:val="30"/>
          <w:szCs w:val="30"/>
        </w:rPr>
        <w:t>天</w:t>
      </w:r>
      <w:r>
        <w:rPr>
          <w:rFonts w:hint="eastAsia" w:ascii="仿宋" w:hAnsi="仿宋" w:eastAsia="仿宋" w:cs="仿宋"/>
          <w:b w:val="0"/>
          <w:bCs w:val="0"/>
          <w:color w:val="auto"/>
          <w:sz w:val="30"/>
          <w:szCs w:val="30"/>
          <w:lang w:val="en-US" w:eastAsia="zh-CN"/>
        </w:rPr>
        <w:t>改造完毕</w:t>
      </w:r>
      <w:r>
        <w:rPr>
          <w:rFonts w:hint="eastAsia" w:ascii="仿宋" w:hAnsi="仿宋" w:eastAsia="仿宋" w:cs="仿宋"/>
          <w:b w:val="0"/>
          <w:bCs w:val="0"/>
          <w:color w:val="auto"/>
          <w:sz w:val="30"/>
          <w:szCs w:val="30"/>
          <w:u w:val="none"/>
          <w:lang w:val="en-US" w:eastAsia="zh-CN"/>
        </w:rPr>
        <w:t>；</w:t>
      </w:r>
    </w:p>
    <w:p w14:paraId="60BA03A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3、报价含</w:t>
      </w:r>
      <w:r>
        <w:rPr>
          <w:rFonts w:hint="eastAsia" w:ascii="仿宋" w:hAnsi="仿宋" w:eastAsia="仿宋" w:cs="仿宋"/>
          <w:b w:val="0"/>
          <w:bCs w:val="0"/>
          <w:color w:val="auto"/>
          <w:sz w:val="30"/>
          <w:szCs w:val="30"/>
          <w:u w:val="single"/>
          <w:lang w:val="en-US" w:eastAsia="zh-CN"/>
        </w:rPr>
        <w:t xml:space="preserve">  </w:t>
      </w:r>
      <w:r>
        <w:rPr>
          <w:rFonts w:hint="eastAsia" w:ascii="仿宋" w:hAnsi="仿宋" w:eastAsia="仿宋" w:cs="仿宋"/>
          <w:b w:val="0"/>
          <w:bCs w:val="0"/>
          <w:color w:val="auto"/>
          <w:sz w:val="30"/>
          <w:szCs w:val="30"/>
          <w:u w:val="single"/>
          <w:lang w:val="en-US" w:eastAsia="zh-CN"/>
        </w:rPr>
        <w:t xml:space="preserve"> %</w:t>
      </w:r>
      <w:r>
        <w:rPr>
          <w:rFonts w:hint="eastAsia" w:ascii="仿宋" w:hAnsi="仿宋" w:eastAsia="仿宋" w:cs="仿宋"/>
          <w:b w:val="0"/>
          <w:bCs w:val="0"/>
          <w:color w:val="auto"/>
          <w:sz w:val="30"/>
          <w:szCs w:val="30"/>
          <w:lang w:val="en-US" w:eastAsia="zh-CN"/>
        </w:rPr>
        <w:t>增值税</w:t>
      </w:r>
      <w:r>
        <w:rPr>
          <w:rFonts w:hint="eastAsia" w:ascii="仿宋" w:hAnsi="仿宋" w:eastAsia="仿宋" w:cs="仿宋"/>
          <w:b w:val="0"/>
          <w:bCs w:val="0"/>
          <w:color w:val="auto"/>
          <w:sz w:val="30"/>
          <w:szCs w:val="30"/>
          <w:u w:val="none"/>
          <w:lang w:val="en-US" w:eastAsia="zh-CN"/>
        </w:rPr>
        <w:t>、技术服务费、人工费、运杂费(含装车费、卸车费、到货后的保管费)、安装费、调试费、各种杂费及与本合同有关的所有费用；</w:t>
      </w:r>
    </w:p>
    <w:p w14:paraId="249CCDC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4、报价有效期：</w:t>
      </w:r>
      <w:r>
        <w:rPr>
          <w:rFonts w:hint="eastAsia" w:ascii="仿宋" w:hAnsi="仿宋" w:eastAsia="仿宋" w:cs="仿宋"/>
          <w:b w:val="0"/>
          <w:bCs w:val="0"/>
          <w:color w:val="auto"/>
          <w:sz w:val="30"/>
          <w:szCs w:val="30"/>
          <w:u w:val="single"/>
          <w:lang w:val="en-US" w:eastAsia="zh-CN"/>
        </w:rPr>
        <w:t xml:space="preserve"> 180   </w:t>
      </w:r>
      <w:r>
        <w:rPr>
          <w:rFonts w:hint="eastAsia" w:ascii="仿宋" w:hAnsi="仿宋" w:eastAsia="仿宋" w:cs="仿宋"/>
          <w:b w:val="0"/>
          <w:bCs w:val="0"/>
          <w:color w:val="auto"/>
          <w:sz w:val="30"/>
          <w:szCs w:val="30"/>
          <w:lang w:val="en-US" w:eastAsia="zh-CN"/>
        </w:rPr>
        <w:t>天；</w:t>
      </w:r>
    </w:p>
    <w:p w14:paraId="258AA3D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val="en-US" w:eastAsia="zh-CN"/>
        </w:rPr>
        <w:t>5、</w:t>
      </w:r>
      <w:r>
        <w:rPr>
          <w:rFonts w:hint="eastAsia" w:ascii="仿宋" w:hAnsi="仿宋" w:eastAsia="仿宋" w:cs="仿宋"/>
          <w:b w:val="0"/>
          <w:bCs w:val="0"/>
          <w:color w:val="auto"/>
          <w:sz w:val="30"/>
          <w:szCs w:val="30"/>
          <w:lang w:eastAsia="zh-CN"/>
        </w:rPr>
        <w:t>付款方式：</w:t>
      </w:r>
      <w:r>
        <w:rPr>
          <w:rFonts w:hint="eastAsia" w:ascii="仿宋" w:hAnsi="仿宋" w:eastAsia="仿宋" w:cs="仿宋"/>
          <w:b w:val="0"/>
          <w:bCs w:val="0"/>
          <w:color w:val="auto"/>
          <w:sz w:val="30"/>
          <w:szCs w:val="30"/>
          <w:lang w:val="en-US" w:eastAsia="zh-CN"/>
        </w:rPr>
        <w:t>改造完毕验收合格，发票验收入账后90个工作日内付款90%，余10%质保金。质保期满没有质量问题时付清，质保期自调试验收合格之日起12个月</w:t>
      </w:r>
      <w:r>
        <w:rPr>
          <w:rFonts w:hint="eastAsia" w:ascii="仿宋" w:hAnsi="仿宋" w:eastAsia="仿宋" w:cs="仿宋"/>
          <w:b w:val="0"/>
          <w:bCs w:val="0"/>
          <w:color w:val="auto"/>
          <w:sz w:val="30"/>
          <w:szCs w:val="30"/>
        </w:rPr>
        <w:t>；</w:t>
      </w:r>
    </w:p>
    <w:p w14:paraId="2CA96E1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6、当投标报价大写与小写不一致时，以大写为准。如报价中存在缺漏项，则视为缺漏项价格已包含在总报价之中，其损失由投标人承担，招标人将不再给予调整。</w:t>
      </w:r>
    </w:p>
    <w:p w14:paraId="40A4B2C1">
      <w:pPr>
        <w:pStyle w:val="23"/>
        <w:rPr>
          <w:rFonts w:hint="eastAsia"/>
          <w:sz w:val="30"/>
          <w:szCs w:val="30"/>
        </w:rPr>
      </w:pPr>
    </w:p>
    <w:p w14:paraId="699E0C48">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15AE0882">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b w:val="0"/>
          <w:bCs w:val="0"/>
          <w:color w:val="auto"/>
          <w:sz w:val="30"/>
          <w:szCs w:val="30"/>
          <w:lang w:val="en-US" w:eastAsia="zh-CN"/>
        </w:rPr>
      </w:pPr>
      <w:r>
        <w:rPr>
          <w:rFonts w:hint="eastAsia" w:ascii="仿宋" w:hAnsi="仿宋" w:eastAsia="仿宋"/>
          <w:b w:val="0"/>
          <w:bCs w:val="0"/>
          <w:color w:val="auto"/>
          <w:sz w:val="30"/>
          <w:szCs w:val="30"/>
          <w:lang w:eastAsia="zh-CN"/>
        </w:rPr>
        <w:t>法人或（委托人）</w:t>
      </w:r>
      <w:r>
        <w:rPr>
          <w:rFonts w:hint="eastAsia" w:ascii="仿宋" w:hAnsi="仿宋" w:eastAsia="仿宋"/>
          <w:b w:val="0"/>
          <w:bCs w:val="0"/>
          <w:color w:val="auto"/>
          <w:sz w:val="30"/>
          <w:szCs w:val="30"/>
        </w:rPr>
        <w:t xml:space="preserve">签字：      </w:t>
      </w:r>
      <w:r>
        <w:rPr>
          <w:rFonts w:hint="eastAsia" w:ascii="仿宋" w:hAnsi="仿宋" w:eastAsia="仿宋"/>
          <w:b w:val="0"/>
          <w:bCs w:val="0"/>
          <w:color w:val="auto"/>
          <w:sz w:val="30"/>
          <w:szCs w:val="30"/>
          <w:lang w:val="en-US" w:eastAsia="zh-CN"/>
        </w:rPr>
        <w:t xml:space="preserve">            </w:t>
      </w:r>
    </w:p>
    <w:p w14:paraId="19F1373A">
      <w:pPr>
        <w:keepNext w:val="0"/>
        <w:keepLines w:val="0"/>
        <w:pageBreakBefore w:val="0"/>
        <w:widowControl w:val="0"/>
        <w:kinsoku/>
        <w:wordWrap/>
        <w:overflowPunct/>
        <w:topLinePunct w:val="0"/>
        <w:autoSpaceDE/>
        <w:autoSpaceDN/>
        <w:bidi w:val="0"/>
        <w:adjustRightInd/>
        <w:snapToGrid/>
        <w:spacing w:line="440" w:lineRule="exact"/>
        <w:ind w:right="0" w:rightChars="0"/>
        <w:jc w:val="right"/>
        <w:textAlignment w:val="auto"/>
        <w:outlineLvl w:val="9"/>
        <w:rPr>
          <w:rFonts w:hint="default" w:eastAsia="仿宋"/>
          <w:lang w:val="en-US" w:eastAsia="zh-CN"/>
        </w:rPr>
        <w:sectPr>
          <w:footerReference r:id="rId3" w:type="default"/>
          <w:pgSz w:w="11906" w:h="16838"/>
          <w:pgMar w:top="1440" w:right="1416" w:bottom="1440" w:left="1588" w:header="851" w:footer="992" w:gutter="0"/>
          <w:cols w:space="720" w:num="1"/>
          <w:docGrid w:type="lines" w:linePitch="312" w:charSpace="0"/>
        </w:sectPr>
      </w:pPr>
      <w:r>
        <w:rPr>
          <w:rFonts w:hint="eastAsia" w:ascii="仿宋" w:hAnsi="仿宋" w:eastAsia="仿宋"/>
          <w:b w:val="0"/>
          <w:bCs w:val="0"/>
          <w:color w:val="auto"/>
          <w:sz w:val="30"/>
          <w:szCs w:val="30"/>
        </w:rPr>
        <w:t xml:space="preserve">   </w:t>
      </w:r>
      <w:r>
        <w:rPr>
          <w:rFonts w:hint="eastAsia" w:ascii="仿宋" w:hAnsi="仿宋" w:eastAsia="仿宋"/>
          <w:b w:val="0"/>
          <w:bCs w:val="0"/>
          <w:color w:val="auto"/>
          <w:sz w:val="30"/>
          <w:szCs w:val="30"/>
          <w:lang w:val="en-US" w:eastAsia="zh-CN"/>
        </w:rPr>
        <w:t>2026年7月17日</w:t>
      </w:r>
    </w:p>
    <w:p w14:paraId="6DB954D4">
      <w:pPr>
        <w:spacing w:line="500" w:lineRule="exact"/>
        <w:rPr>
          <w:rFonts w:hint="eastAsia" w:ascii="仿宋" w:hAnsi="仿宋" w:eastAsia="仿宋"/>
          <w:sz w:val="28"/>
          <w:szCs w:val="28"/>
        </w:rPr>
      </w:pPr>
    </w:p>
    <w:p w14:paraId="511E02C9">
      <w:pPr>
        <w:spacing w:line="360" w:lineRule="auto"/>
        <w:jc w:val="left"/>
        <w:rPr>
          <w:rFonts w:hint="eastAsia" w:ascii="仿宋" w:hAnsi="仿宋" w:eastAsia="仿宋" w:cs="仿宋"/>
          <w:sz w:val="30"/>
          <w:szCs w:val="30"/>
          <w:lang w:val="en-US" w:eastAsia="zh-CN"/>
        </w:rPr>
      </w:pPr>
      <w:bookmarkStart w:id="0" w:name="_Toc118791624"/>
      <w:bookmarkStart w:id="1" w:name="_Toc184955855"/>
      <w:bookmarkStart w:id="2" w:name="_Toc184954197"/>
      <w:bookmarkStart w:id="3" w:name="_Toc184955372"/>
      <w:r>
        <w:rPr>
          <w:rFonts w:hint="eastAsia" w:ascii="仿宋" w:hAnsi="仿宋" w:eastAsia="仿宋" w:cs="仿宋"/>
          <w:sz w:val="30"/>
          <w:szCs w:val="30"/>
          <w:lang w:val="en-US" w:eastAsia="zh-CN"/>
        </w:rPr>
        <w:t>附件5</w:t>
      </w:r>
      <w:bookmarkEnd w:id="0"/>
      <w:bookmarkEnd w:id="1"/>
      <w:bookmarkEnd w:id="2"/>
      <w:bookmarkEnd w:id="3"/>
      <w:r>
        <w:rPr>
          <w:rFonts w:hint="eastAsia" w:ascii="仿宋" w:hAnsi="仿宋" w:eastAsia="仿宋" w:cs="仿宋"/>
          <w:sz w:val="30"/>
          <w:szCs w:val="30"/>
          <w:lang w:val="en-US" w:eastAsia="zh-CN"/>
        </w:rPr>
        <w:t xml:space="preserve">  技术要求（另附）</w:t>
      </w:r>
    </w:p>
    <w:p w14:paraId="242017E7">
      <w:pPr>
        <w:spacing w:line="500" w:lineRule="exact"/>
        <w:rPr>
          <w:rFonts w:hint="eastAsia" w:ascii="仿宋" w:hAnsi="仿宋" w:eastAsia="仿宋" w:cs="仿宋"/>
          <w:sz w:val="30"/>
          <w:szCs w:val="30"/>
        </w:rPr>
      </w:pPr>
      <w:bookmarkStart w:id="7" w:name="_GoBack"/>
      <w:bookmarkEnd w:id="7"/>
    </w:p>
    <w:p w14:paraId="2AF0B72F">
      <w:pPr>
        <w:spacing w:line="500" w:lineRule="exact"/>
        <w:rPr>
          <w:rFonts w:hint="eastAsia"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lang w:val="en-US" w:eastAsia="zh-CN"/>
        </w:rPr>
        <w:t xml:space="preserve">6  </w:t>
      </w:r>
      <w:r>
        <w:rPr>
          <w:rFonts w:hint="eastAsia" w:ascii="仿宋" w:hAnsi="仿宋" w:eastAsia="仿宋" w:cs="仿宋"/>
          <w:sz w:val="30"/>
          <w:szCs w:val="30"/>
        </w:rPr>
        <w:t>参考合同条款（具体以签订合同为准）</w:t>
      </w:r>
    </w:p>
    <w:p w14:paraId="2F6A5D24">
      <w:pPr>
        <w:spacing w:line="276" w:lineRule="auto"/>
        <w:rPr>
          <w:rFonts w:ascii="仿宋" w:hAnsi="仿宋" w:eastAsia="仿宋"/>
          <w:bCs/>
          <w:sz w:val="36"/>
          <w:szCs w:val="36"/>
        </w:rPr>
      </w:pPr>
    </w:p>
    <w:p w14:paraId="07CB8AAF">
      <w:pPr>
        <w:spacing w:line="360" w:lineRule="auto"/>
        <w:jc w:val="center"/>
        <w:rPr>
          <w:rFonts w:ascii="仿宋" w:hAnsi="仿宋" w:eastAsia="仿宋"/>
          <w:b/>
          <w:bCs/>
          <w:sz w:val="48"/>
          <w:szCs w:val="48"/>
        </w:rPr>
      </w:pPr>
      <w:bookmarkStart w:id="4" w:name="_Toc363573174"/>
      <w:bookmarkStart w:id="5" w:name="OLE_LINK2"/>
    </w:p>
    <w:bookmarkEnd w:id="4"/>
    <w:bookmarkEnd w:id="5"/>
    <w:p w14:paraId="1A42A61A">
      <w:pPr>
        <w:spacing w:line="520" w:lineRule="exact"/>
        <w:ind w:right="277" w:rightChars="132"/>
        <w:jc w:val="center"/>
        <w:rPr>
          <w:rFonts w:hint="eastAsia" w:ascii="华文中宋" w:hAnsi="华文中宋" w:eastAsia="华文中宋"/>
          <w:b/>
          <w:sz w:val="36"/>
          <w:szCs w:val="36"/>
        </w:rPr>
      </w:pPr>
      <w:r>
        <w:rPr>
          <w:rFonts w:hint="eastAsia" w:ascii="华文中宋" w:hAnsi="华文中宋" w:eastAsia="华文中宋"/>
          <w:b/>
          <w:sz w:val="44"/>
          <w:szCs w:val="44"/>
        </w:rPr>
        <w:t>维</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修</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合</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同</w:t>
      </w:r>
    </w:p>
    <w:p w14:paraId="59D1CAB9">
      <w:pPr>
        <w:keepNext w:val="0"/>
        <w:keepLines w:val="0"/>
        <w:pageBreakBefore w:val="0"/>
        <w:widowControl w:val="0"/>
        <w:kinsoku/>
        <w:wordWrap/>
        <w:overflowPunct/>
        <w:topLinePunct w:val="0"/>
        <w:autoSpaceDE/>
        <w:autoSpaceDN/>
        <w:bidi w:val="0"/>
        <w:adjustRightInd/>
        <w:spacing w:line="440" w:lineRule="exact"/>
        <w:ind w:left="-133" w:leftChars="-171" w:hanging="226" w:hangingChars="81"/>
        <w:jc w:val="center"/>
        <w:textAlignment w:val="auto"/>
        <w:rPr>
          <w:rFonts w:hint="eastAsia" w:ascii="仿宋" w:hAnsi="仿宋" w:eastAsia="仿宋"/>
          <w:sz w:val="28"/>
          <w:szCs w:val="28"/>
          <w:lang w:val="en-US" w:eastAsia="zh-CN"/>
        </w:rPr>
      </w:pPr>
      <w:r>
        <w:rPr>
          <w:rFonts w:hint="eastAsia" w:ascii="仿宋" w:hAnsi="仿宋" w:eastAsia="仿宋"/>
          <w:sz w:val="28"/>
          <w:szCs w:val="28"/>
        </w:rPr>
        <w:t>合同编号：</w:t>
      </w:r>
      <w:r>
        <w:rPr>
          <w:rFonts w:hint="eastAsia" w:ascii="仿宋" w:hAnsi="仿宋" w:eastAsia="仿宋"/>
          <w:sz w:val="28"/>
          <w:szCs w:val="28"/>
          <w:lang w:val="en-US" w:eastAsia="zh-CN"/>
        </w:rPr>
        <w:t xml:space="preserve"> </w:t>
      </w:r>
    </w:p>
    <w:p w14:paraId="151E37B2">
      <w:pPr>
        <w:keepNext w:val="0"/>
        <w:keepLines w:val="0"/>
        <w:pageBreakBefore w:val="0"/>
        <w:widowControl w:val="0"/>
        <w:kinsoku/>
        <w:wordWrap/>
        <w:overflowPunct/>
        <w:topLinePunct w:val="0"/>
        <w:autoSpaceDE/>
        <w:autoSpaceDN/>
        <w:bidi w:val="0"/>
        <w:adjustRightInd/>
        <w:spacing w:line="440" w:lineRule="exact"/>
        <w:ind w:left="194" w:hanging="226" w:hangingChars="81"/>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签订时间：</w:t>
      </w:r>
      <w:r>
        <w:rPr>
          <w:rFonts w:hint="eastAsia" w:ascii="仿宋" w:hAnsi="仿宋" w:eastAsia="仿宋"/>
          <w:sz w:val="28"/>
          <w:szCs w:val="28"/>
          <w:lang w:val="en-US" w:eastAsia="zh-CN"/>
        </w:rPr>
        <w:t xml:space="preserve"> </w:t>
      </w:r>
    </w:p>
    <w:p w14:paraId="0D77108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签订地点：</w:t>
      </w:r>
    </w:p>
    <w:p w14:paraId="663A258C">
      <w:pPr>
        <w:overflowPunct w:val="0"/>
        <w:spacing w:line="460" w:lineRule="exact"/>
        <w:ind w:firstLine="560" w:firstLineChars="200"/>
        <w:rPr>
          <w:rFonts w:hint="eastAsia" w:ascii="仿宋" w:hAnsi="仿宋" w:eastAsia="仿宋" w:cs="仿宋"/>
          <w:bCs/>
          <w:color w:val="000000"/>
          <w:sz w:val="28"/>
          <w:szCs w:val="28"/>
          <w:highlight w:val="none"/>
        </w:rPr>
      </w:pPr>
    </w:p>
    <w:p w14:paraId="3BDB11AD">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甲方</w:t>
      </w:r>
      <w:r>
        <w:rPr>
          <w:rFonts w:hint="eastAsia" w:ascii="仿宋" w:hAnsi="仿宋" w:eastAsia="仿宋" w:cs="仿宋"/>
          <w:bCs/>
          <w:color w:val="000000"/>
          <w:sz w:val="28"/>
          <w:szCs w:val="28"/>
          <w:highlight w:val="none"/>
        </w:rPr>
        <w:t>：</w:t>
      </w:r>
    </w:p>
    <w:p w14:paraId="4D329202">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w:t>
      </w:r>
    </w:p>
    <w:p w14:paraId="5F0C599E">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05CA3B44">
      <w:pPr>
        <w:overflowPunct w:val="0"/>
        <w:spacing w:line="460" w:lineRule="exact"/>
        <w:ind w:firstLine="560" w:firstLineChars="200"/>
        <w:rPr>
          <w:rFonts w:hint="eastAsia" w:ascii="仿宋" w:hAnsi="仿宋" w:eastAsia="仿宋" w:cs="仿宋"/>
          <w:bCs/>
          <w:color w:val="000000"/>
          <w:sz w:val="28"/>
          <w:szCs w:val="28"/>
          <w:highlight w:val="none"/>
        </w:rPr>
      </w:pPr>
    </w:p>
    <w:p w14:paraId="16546E16">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eastAsia="zh-CN"/>
        </w:rPr>
        <w:t>乙方</w:t>
      </w:r>
      <w:r>
        <w:rPr>
          <w:rFonts w:hint="eastAsia" w:ascii="仿宋" w:hAnsi="仿宋" w:eastAsia="仿宋" w:cs="仿宋"/>
          <w:bCs/>
          <w:color w:val="000000"/>
          <w:sz w:val="28"/>
          <w:szCs w:val="28"/>
          <w:highlight w:val="none"/>
        </w:rPr>
        <w:t>：</w:t>
      </w:r>
      <w:bookmarkStart w:id="6" w:name="OLE_LINK3"/>
      <w:r>
        <w:rPr>
          <w:rFonts w:hint="eastAsia" w:ascii="仿宋" w:hAnsi="仿宋" w:eastAsia="仿宋" w:cs="仿宋"/>
          <w:bCs/>
          <w:color w:val="000000"/>
          <w:sz w:val="28"/>
          <w:szCs w:val="28"/>
          <w:highlight w:val="none"/>
          <w:lang w:val="en-US" w:eastAsia="zh-CN"/>
        </w:rPr>
        <w:t xml:space="preserve">  </w:t>
      </w:r>
      <w:bookmarkEnd w:id="6"/>
    </w:p>
    <w:p w14:paraId="69F4CF2C">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法定代表人：</w:t>
      </w:r>
    </w:p>
    <w:p w14:paraId="1B41B27E">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0DB26C0E">
      <w:pPr>
        <w:overflowPunct w:val="0"/>
        <w:spacing w:line="460" w:lineRule="exact"/>
        <w:rPr>
          <w:rFonts w:hint="default" w:ascii="仿宋" w:hAnsi="仿宋" w:eastAsia="仿宋" w:cs="仿宋"/>
          <w:bCs/>
          <w:color w:val="000000"/>
          <w:sz w:val="28"/>
          <w:szCs w:val="28"/>
          <w:highlight w:val="none"/>
          <w:lang w:val="en-US"/>
        </w:rPr>
      </w:pPr>
    </w:p>
    <w:p w14:paraId="2D6D58DD">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rPr>
        <w:t>根据《中华人民共和国民法典》等法律、法规的规定，</w:t>
      </w:r>
      <w:r>
        <w:rPr>
          <w:rFonts w:hint="eastAsia" w:ascii="仿宋" w:hAnsi="仿宋" w:eastAsia="仿宋"/>
          <w:sz w:val="28"/>
          <w:szCs w:val="28"/>
          <w:lang w:eastAsia="zh-CN"/>
        </w:rPr>
        <w:t>甲乙双方</w:t>
      </w:r>
      <w:r>
        <w:rPr>
          <w:rFonts w:hint="eastAsia" w:ascii="仿宋" w:hAnsi="仿宋" w:eastAsia="仿宋"/>
          <w:sz w:val="28"/>
          <w:szCs w:val="28"/>
        </w:rPr>
        <w:t>本着平等互利、诚实</w:t>
      </w:r>
      <w:r>
        <w:rPr>
          <w:rFonts w:hint="eastAsia" w:ascii="仿宋" w:hAnsi="仿宋" w:eastAsia="仿宋"/>
          <w:sz w:val="28"/>
          <w:szCs w:val="28"/>
          <w:lang w:val="en-US" w:eastAsia="zh-CN"/>
        </w:rPr>
        <w:t>守信</w:t>
      </w:r>
      <w:r>
        <w:rPr>
          <w:rFonts w:hint="eastAsia" w:ascii="仿宋" w:hAnsi="仿宋" w:eastAsia="仿宋"/>
          <w:sz w:val="28"/>
          <w:szCs w:val="28"/>
        </w:rPr>
        <w:t>的原则，就</w:t>
      </w:r>
      <w:r>
        <w:rPr>
          <w:rFonts w:hint="eastAsia" w:ascii="仿宋" w:hAnsi="仿宋" w:eastAsia="仿宋"/>
          <w:sz w:val="28"/>
          <w:szCs w:val="28"/>
          <w:lang w:val="en-US" w:eastAsia="zh-CN"/>
        </w:rPr>
        <w:t>**维修</w:t>
      </w:r>
      <w:r>
        <w:rPr>
          <w:rFonts w:hint="eastAsia" w:ascii="仿宋" w:hAnsi="仿宋" w:eastAsia="仿宋"/>
          <w:sz w:val="28"/>
          <w:szCs w:val="28"/>
        </w:rPr>
        <w:t>事宜，</w:t>
      </w:r>
      <w:r>
        <w:rPr>
          <w:rFonts w:hint="eastAsia" w:ascii="仿宋" w:hAnsi="仿宋" w:eastAsia="仿宋" w:cs="Times New Roman"/>
          <w:sz w:val="28"/>
          <w:szCs w:val="28"/>
          <w:highlight w:val="none"/>
          <w:lang w:val="en-US" w:eastAsia="zh-CN"/>
        </w:rPr>
        <w:t>根据万基控股集团**定标单（编号：******）</w:t>
      </w:r>
      <w:r>
        <w:rPr>
          <w:rFonts w:hint="eastAsia" w:ascii="仿宋" w:hAnsi="仿宋" w:eastAsia="仿宋"/>
          <w:sz w:val="28"/>
          <w:szCs w:val="28"/>
          <w:lang w:val="en-US" w:eastAsia="zh-CN"/>
        </w:rPr>
        <w:t>，</w:t>
      </w:r>
      <w:r>
        <w:rPr>
          <w:rFonts w:hint="eastAsia" w:ascii="仿宋" w:hAnsi="仿宋" w:eastAsia="仿宋"/>
          <w:sz w:val="28"/>
          <w:szCs w:val="28"/>
        </w:rPr>
        <w:t>达成如下协议：</w:t>
      </w:r>
      <w:r>
        <w:rPr>
          <w:rFonts w:hint="eastAsia" w:ascii="仿宋" w:hAnsi="仿宋" w:eastAsia="仿宋"/>
          <w:color w:val="0000FF"/>
          <w:sz w:val="28"/>
          <w:szCs w:val="28"/>
          <w:lang w:eastAsia="zh-CN"/>
        </w:rPr>
        <w:t>（</w:t>
      </w:r>
      <w:r>
        <w:rPr>
          <w:rFonts w:hint="eastAsia" w:ascii="仿宋" w:hAnsi="仿宋" w:eastAsia="仿宋"/>
          <w:color w:val="0000FF"/>
          <w:sz w:val="28"/>
          <w:szCs w:val="28"/>
          <w:lang w:val="en-US" w:eastAsia="zh-CN"/>
        </w:rPr>
        <w:t>非招标不适用定标单</w:t>
      </w:r>
      <w:r>
        <w:rPr>
          <w:rFonts w:hint="eastAsia" w:ascii="仿宋" w:hAnsi="仿宋" w:eastAsia="仿宋"/>
          <w:color w:val="0000FF"/>
          <w:sz w:val="28"/>
          <w:szCs w:val="28"/>
          <w:lang w:eastAsia="zh-CN"/>
        </w:rPr>
        <w:t>）</w:t>
      </w:r>
    </w:p>
    <w:p w14:paraId="4ECA787A">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第一条、维修物资名称、规格型号、单位、数量、单价及总金额：</w:t>
      </w:r>
    </w:p>
    <w:tbl>
      <w:tblPr>
        <w:tblStyle w:val="45"/>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13"/>
        <w:gridCol w:w="1787"/>
        <w:gridCol w:w="957"/>
        <w:gridCol w:w="956"/>
        <w:gridCol w:w="1576"/>
        <w:gridCol w:w="1536"/>
        <w:gridCol w:w="812"/>
      </w:tblGrid>
      <w:tr w14:paraId="33C8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1" w:type="dxa"/>
            <w:noWrap w:val="0"/>
            <w:vAlign w:val="center"/>
          </w:tcPr>
          <w:p w14:paraId="3A134E76">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序号</w:t>
            </w:r>
          </w:p>
        </w:tc>
        <w:tc>
          <w:tcPr>
            <w:tcW w:w="1913" w:type="dxa"/>
            <w:noWrap w:val="0"/>
            <w:vAlign w:val="center"/>
          </w:tcPr>
          <w:p w14:paraId="05C8814C">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维修内容</w:t>
            </w:r>
          </w:p>
        </w:tc>
        <w:tc>
          <w:tcPr>
            <w:tcW w:w="1787" w:type="dxa"/>
            <w:noWrap w:val="0"/>
            <w:vAlign w:val="center"/>
          </w:tcPr>
          <w:p w14:paraId="1101BCF2">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规格型号</w:t>
            </w:r>
          </w:p>
        </w:tc>
        <w:tc>
          <w:tcPr>
            <w:tcW w:w="957" w:type="dxa"/>
            <w:noWrap w:val="0"/>
            <w:vAlign w:val="center"/>
          </w:tcPr>
          <w:p w14:paraId="35546326">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单位</w:t>
            </w:r>
          </w:p>
        </w:tc>
        <w:tc>
          <w:tcPr>
            <w:tcW w:w="956" w:type="dxa"/>
            <w:noWrap w:val="0"/>
            <w:vAlign w:val="center"/>
          </w:tcPr>
          <w:p w14:paraId="3A2C4D16">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数量</w:t>
            </w:r>
          </w:p>
        </w:tc>
        <w:tc>
          <w:tcPr>
            <w:tcW w:w="1576" w:type="dxa"/>
            <w:noWrap w:val="0"/>
            <w:vAlign w:val="center"/>
          </w:tcPr>
          <w:p w14:paraId="27EBBFEC">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单价（元）</w:t>
            </w:r>
          </w:p>
        </w:tc>
        <w:tc>
          <w:tcPr>
            <w:tcW w:w="1536" w:type="dxa"/>
            <w:noWrap w:val="0"/>
            <w:vAlign w:val="center"/>
          </w:tcPr>
          <w:p w14:paraId="70834B5D">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总价（元）</w:t>
            </w:r>
          </w:p>
        </w:tc>
        <w:tc>
          <w:tcPr>
            <w:tcW w:w="812" w:type="dxa"/>
            <w:noWrap w:val="0"/>
            <w:vAlign w:val="center"/>
          </w:tcPr>
          <w:p w14:paraId="2D7B79BC">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备注</w:t>
            </w:r>
          </w:p>
        </w:tc>
      </w:tr>
      <w:tr w14:paraId="0C00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811" w:type="dxa"/>
            <w:noWrap w:val="0"/>
            <w:vAlign w:val="center"/>
          </w:tcPr>
          <w:p w14:paraId="58B804F2">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w:t>
            </w:r>
          </w:p>
        </w:tc>
        <w:tc>
          <w:tcPr>
            <w:tcW w:w="1913" w:type="dxa"/>
            <w:noWrap w:val="0"/>
            <w:vAlign w:val="center"/>
          </w:tcPr>
          <w:p w14:paraId="5F4D3B5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787" w:type="dxa"/>
            <w:noWrap w:val="0"/>
            <w:vAlign w:val="center"/>
          </w:tcPr>
          <w:p w14:paraId="3F957CB3">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7" w:type="dxa"/>
            <w:noWrap w:val="0"/>
            <w:vAlign w:val="center"/>
          </w:tcPr>
          <w:p w14:paraId="1FF713F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6" w:type="dxa"/>
            <w:noWrap w:val="0"/>
            <w:vAlign w:val="center"/>
          </w:tcPr>
          <w:p w14:paraId="0CF5B313">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76" w:type="dxa"/>
            <w:noWrap w:val="0"/>
            <w:vAlign w:val="center"/>
          </w:tcPr>
          <w:p w14:paraId="1A6C66C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36" w:type="dxa"/>
            <w:noWrap w:val="0"/>
            <w:vAlign w:val="center"/>
          </w:tcPr>
          <w:p w14:paraId="3B0C733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812" w:type="dxa"/>
            <w:vMerge w:val="restart"/>
            <w:noWrap w:val="0"/>
            <w:vAlign w:val="center"/>
          </w:tcPr>
          <w:p w14:paraId="0AA62D7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r>
      <w:tr w14:paraId="5C8F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811" w:type="dxa"/>
            <w:noWrap w:val="0"/>
            <w:vAlign w:val="center"/>
          </w:tcPr>
          <w:p w14:paraId="61FEC3E2">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default" w:ascii="仿宋" w:hAnsi="仿宋" w:eastAsia="仿宋" w:cs="Times New Roman"/>
                <w:color w:val="auto"/>
                <w:sz w:val="28"/>
                <w:szCs w:val="28"/>
                <w:lang w:val="en-US" w:eastAsia="zh-CN"/>
              </w:rPr>
            </w:pPr>
            <w:r>
              <w:rPr>
                <w:rFonts w:hint="default" w:ascii="仿宋" w:hAnsi="仿宋" w:eastAsia="仿宋" w:cs="Times New Roman"/>
                <w:color w:val="auto"/>
                <w:sz w:val="28"/>
                <w:szCs w:val="28"/>
                <w:lang w:val="en-US" w:eastAsia="zh-CN"/>
              </w:rPr>
              <w:t>2</w:t>
            </w:r>
          </w:p>
        </w:tc>
        <w:tc>
          <w:tcPr>
            <w:tcW w:w="1913" w:type="dxa"/>
            <w:noWrap w:val="0"/>
            <w:vAlign w:val="center"/>
          </w:tcPr>
          <w:p w14:paraId="4734DA1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787" w:type="dxa"/>
            <w:noWrap w:val="0"/>
            <w:vAlign w:val="center"/>
          </w:tcPr>
          <w:p w14:paraId="1FFF0AD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7" w:type="dxa"/>
            <w:noWrap w:val="0"/>
            <w:vAlign w:val="center"/>
          </w:tcPr>
          <w:p w14:paraId="0ACBCB0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6" w:type="dxa"/>
            <w:noWrap w:val="0"/>
            <w:vAlign w:val="center"/>
          </w:tcPr>
          <w:p w14:paraId="2373326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76" w:type="dxa"/>
            <w:noWrap w:val="0"/>
            <w:vAlign w:val="center"/>
          </w:tcPr>
          <w:p w14:paraId="4093EF0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36" w:type="dxa"/>
            <w:noWrap w:val="0"/>
            <w:vAlign w:val="center"/>
          </w:tcPr>
          <w:p w14:paraId="2C412B9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812" w:type="dxa"/>
            <w:vMerge w:val="continue"/>
            <w:noWrap w:val="0"/>
            <w:vAlign w:val="center"/>
          </w:tcPr>
          <w:p w14:paraId="73CDCAA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r>
      <w:tr w14:paraId="7A16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10348" w:type="dxa"/>
            <w:gridSpan w:val="8"/>
            <w:noWrap w:val="0"/>
            <w:vAlign w:val="center"/>
          </w:tcPr>
          <w:p w14:paraId="759F6496">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不含税金额：    元                     税率：          税额：       元</w:t>
            </w:r>
          </w:p>
        </w:tc>
      </w:tr>
      <w:tr w14:paraId="2AC1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348" w:type="dxa"/>
            <w:gridSpan w:val="8"/>
            <w:noWrap w:val="0"/>
            <w:vAlign w:val="center"/>
          </w:tcPr>
          <w:p w14:paraId="2076C4F1">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合计金额人民币大写：                               ￥：         元</w:t>
            </w:r>
          </w:p>
        </w:tc>
      </w:tr>
      <w:tr w14:paraId="5247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348" w:type="dxa"/>
            <w:gridSpan w:val="8"/>
            <w:noWrap w:val="0"/>
            <w:vAlign w:val="center"/>
          </w:tcPr>
          <w:p w14:paraId="435CC297">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auto"/>
                <w:sz w:val="28"/>
                <w:szCs w:val="28"/>
                <w:lang w:val="en-US" w:eastAsia="zh-CN"/>
              </w:rPr>
              <w:t>维修时间：合同签订后X个工作日内维修完成。</w:t>
            </w:r>
            <w:r>
              <w:rPr>
                <w:rFonts w:hint="eastAsia" w:ascii="仿宋" w:hAnsi="仿宋" w:eastAsia="仿宋" w:cs="Times New Roman"/>
                <w:color w:val="0000FF"/>
                <w:sz w:val="28"/>
                <w:szCs w:val="28"/>
                <w:lang w:val="en-US" w:eastAsia="zh-CN"/>
              </w:rPr>
              <w:t>（根据中标或协商结果明确约定期限，若涉及拉走维修需明确返回时间）</w:t>
            </w:r>
          </w:p>
          <w:p w14:paraId="5E38DD20">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宋体" w:cs="Times New Roman"/>
                <w:color w:val="0000FF"/>
                <w:sz w:val="28"/>
                <w:szCs w:val="28"/>
                <w:lang w:val="en-US" w:eastAsia="zh-CN"/>
              </w:rPr>
            </w:pPr>
            <w:r>
              <w:rPr>
                <w:rFonts w:hint="eastAsia" w:ascii="仿宋" w:hAnsi="仿宋" w:eastAsia="仿宋" w:cs="Times New Roman"/>
                <w:color w:val="auto"/>
                <w:sz w:val="28"/>
                <w:szCs w:val="28"/>
                <w:lang w:val="en-US" w:eastAsia="zh-CN"/>
              </w:rPr>
              <w:t>价格：</w:t>
            </w:r>
            <w:r>
              <w:rPr>
                <w:rFonts w:hint="eastAsia" w:ascii="仿宋" w:hAnsi="仿宋" w:eastAsia="仿宋" w:cs="Times New Roman"/>
                <w:color w:val="auto"/>
                <w:sz w:val="28"/>
                <w:szCs w:val="28"/>
              </w:rPr>
              <w:t>合同</w:t>
            </w:r>
            <w:r>
              <w:rPr>
                <w:rFonts w:hint="eastAsia" w:ascii="仿宋" w:hAnsi="仿宋" w:eastAsia="仿宋" w:cs="Times New Roman"/>
                <w:color w:val="auto"/>
                <w:sz w:val="28"/>
                <w:szCs w:val="28"/>
                <w:lang w:val="en-US" w:eastAsia="zh-CN"/>
              </w:rPr>
              <w:t>价格</w:t>
            </w:r>
            <w:r>
              <w:rPr>
                <w:rFonts w:hint="eastAsia" w:ascii="仿宋" w:hAnsi="仿宋" w:eastAsia="仿宋" w:cs="Times New Roman"/>
                <w:color w:val="auto"/>
                <w:sz w:val="28"/>
                <w:szCs w:val="28"/>
              </w:rPr>
              <w:t>含</w:t>
            </w:r>
            <w:r>
              <w:rPr>
                <w:rFonts w:hint="eastAsia" w:ascii="仿宋" w:hAnsi="仿宋" w:eastAsia="仿宋" w:cs="Times New Roman"/>
                <w:color w:val="auto"/>
                <w:sz w:val="28"/>
                <w:szCs w:val="28"/>
                <w:lang w:val="en-US" w:eastAsia="zh-CN"/>
              </w:rPr>
              <w:t>合同</w:t>
            </w:r>
            <w:r>
              <w:rPr>
                <w:rFonts w:hint="eastAsia" w:ascii="仿宋" w:hAnsi="仿宋" w:eastAsia="仿宋" w:cs="Times New Roman"/>
                <w:color w:val="auto"/>
                <w:sz w:val="28"/>
                <w:szCs w:val="28"/>
              </w:rPr>
              <w:t>设备</w:t>
            </w:r>
            <w:r>
              <w:rPr>
                <w:rFonts w:hint="eastAsia" w:ascii="仿宋" w:hAnsi="仿宋" w:eastAsia="仿宋" w:cs="Times New Roman"/>
                <w:color w:val="auto"/>
                <w:sz w:val="28"/>
                <w:szCs w:val="28"/>
                <w:lang w:val="en-US" w:eastAsia="zh-CN"/>
              </w:rPr>
              <w:t>维修</w:t>
            </w:r>
            <w:r>
              <w:rPr>
                <w:rFonts w:hint="eastAsia" w:ascii="仿宋" w:hAnsi="仿宋" w:eastAsia="仿宋" w:cs="Times New Roman"/>
                <w:color w:val="auto"/>
                <w:sz w:val="28"/>
                <w:szCs w:val="28"/>
              </w:rPr>
              <w:t>费</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人工费、材料费、</w:t>
            </w:r>
            <w:r>
              <w:rPr>
                <w:rFonts w:hint="eastAsia" w:ascii="仿宋" w:hAnsi="仿宋" w:eastAsia="仿宋" w:cs="Times New Roman"/>
                <w:bCs w:val="0"/>
                <w:color w:val="auto"/>
                <w:sz w:val="28"/>
                <w:szCs w:val="28"/>
              </w:rPr>
              <w:t>设计费、技术资料费、技术服务费</w:t>
            </w:r>
            <w:r>
              <w:rPr>
                <w:rFonts w:hint="eastAsia" w:ascii="仿宋" w:hAnsi="仿宋" w:eastAsia="仿宋" w:cs="Times New Roman"/>
                <w:bCs w:val="0"/>
                <w:color w:val="auto"/>
                <w:sz w:val="28"/>
                <w:szCs w:val="28"/>
                <w:lang w:eastAsia="zh-CN"/>
              </w:rPr>
              <w:t>、</w:t>
            </w:r>
            <w:r>
              <w:rPr>
                <w:rFonts w:hint="eastAsia" w:ascii="仿宋" w:hAnsi="仿宋" w:eastAsia="仿宋" w:cs="Times New Roman"/>
                <w:bCs w:val="0"/>
                <w:color w:val="auto"/>
                <w:sz w:val="28"/>
                <w:szCs w:val="28"/>
              </w:rPr>
              <w:t>安装费、</w:t>
            </w:r>
            <w:r>
              <w:rPr>
                <w:rFonts w:hint="eastAsia" w:ascii="仿宋" w:hAnsi="仿宋" w:eastAsia="仿宋" w:cs="Times New Roman"/>
                <w:bCs w:val="0"/>
                <w:color w:val="auto"/>
                <w:sz w:val="28"/>
                <w:szCs w:val="28"/>
                <w:lang w:val="en-US" w:eastAsia="zh-CN"/>
              </w:rPr>
              <w:t>调试费、</w:t>
            </w:r>
            <w:r>
              <w:rPr>
                <w:rFonts w:hint="eastAsia" w:ascii="仿宋" w:hAnsi="仿宋" w:eastAsia="仿宋" w:cs="Times New Roman"/>
                <w:bCs w:val="0"/>
                <w:color w:val="auto"/>
                <w:sz w:val="28"/>
                <w:szCs w:val="28"/>
              </w:rPr>
              <w:t>培训费、设备的包装费、装车费、卸车费、运输费、运输保险费、各种杂费、税费及与本合同有关的所有费用</w:t>
            </w:r>
            <w:r>
              <w:rPr>
                <w:rFonts w:hint="eastAsia" w:ascii="仿宋" w:hAnsi="仿宋" w:eastAsia="仿宋" w:cs="Times New Roman"/>
                <w:bCs w:val="0"/>
                <w:color w:val="auto"/>
                <w:sz w:val="28"/>
                <w:szCs w:val="28"/>
                <w:lang w:eastAsia="zh-CN"/>
              </w:rPr>
              <w:t>。</w:t>
            </w:r>
            <w:r>
              <w:rPr>
                <w:rFonts w:hint="eastAsia" w:ascii="仿宋" w:hAnsi="仿宋" w:eastAsia="仿宋" w:cs="Times New Roman"/>
                <w:color w:val="0000FF"/>
                <w:sz w:val="28"/>
                <w:szCs w:val="28"/>
                <w:lang w:eastAsia="zh-CN"/>
              </w:rPr>
              <w:t>（</w:t>
            </w:r>
            <w:r>
              <w:rPr>
                <w:rFonts w:hint="eastAsia" w:ascii="仿宋" w:hAnsi="仿宋" w:eastAsia="仿宋" w:cs="Times New Roman"/>
                <w:color w:val="0000FF"/>
                <w:sz w:val="28"/>
                <w:szCs w:val="28"/>
                <w:lang w:val="en-US" w:eastAsia="zh-CN"/>
              </w:rPr>
              <w:t>依据实际调整价格包含内容，明确不涉及或有冲突的可删除、修改，除此范围外需求的需增加</w:t>
            </w:r>
            <w:r>
              <w:rPr>
                <w:rFonts w:hint="eastAsia" w:ascii="仿宋" w:hAnsi="仿宋" w:eastAsia="仿宋" w:cs="Times New Roman"/>
                <w:color w:val="0000FF"/>
                <w:sz w:val="28"/>
                <w:szCs w:val="28"/>
                <w:lang w:eastAsia="zh-CN"/>
              </w:rPr>
              <w:t>）</w:t>
            </w:r>
          </w:p>
        </w:tc>
      </w:tr>
    </w:tbl>
    <w:p w14:paraId="00E2436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b/>
          <w:bCs/>
          <w:sz w:val="28"/>
          <w:szCs w:val="28"/>
          <w:lang w:val="en-US" w:eastAsia="zh-CN"/>
        </w:rPr>
        <w:t>第二条、维修质量要求、技术标准</w:t>
      </w:r>
      <w:r>
        <w:rPr>
          <w:rFonts w:hint="eastAsia" w:ascii="仿宋" w:hAnsi="仿宋" w:eastAsia="仿宋" w:cs="Times New Roman"/>
          <w:color w:val="auto"/>
          <w:sz w:val="28"/>
          <w:szCs w:val="28"/>
          <w:lang w:val="en-US" w:eastAsia="zh-CN"/>
        </w:rPr>
        <w:t>：</w:t>
      </w:r>
    </w:p>
    <w:p w14:paraId="62BF9683">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0000FF"/>
          <w:sz w:val="28"/>
          <w:szCs w:val="28"/>
          <w:lang w:val="en-US" w:eastAsia="zh-CN"/>
        </w:rPr>
        <w:t>1、按照双方签订的技术协议或技术指标文件执行。（业务部门确定，必须明确、具体）</w:t>
      </w:r>
    </w:p>
    <w:p w14:paraId="3D96BDD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甲方对维修所供备件有明确要求的，乙方应按约定供应。无论何时发现乙方所供产品不符合甲方规定的质量标准及规格要求的，乙方应于接到甲方质量异常反馈之日起3日内，向甲方提交书面回复，并承担因此产生的全部损失。若乙方未按前述期限提交书面回复的，甲方有权要求乙方按照质量异常产品总价值3‰-5‰的标准/次支付违约金。若乙方累计三次逾期未回复或连续两次出现同类质量问题的，甲方有权立即解除合同。</w:t>
      </w:r>
    </w:p>
    <w:p w14:paraId="5034E3F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乙方存在维修质量不合格、弄虚作假、掺杂使假、以次充好、偷工减料、商业欺诈、隐瞒产品质量隐患、供应变质及假冒伪劣产品或备件、放任不合格品流入甲方、故意伪造或篡改质量和维修记录及报告等不诚信行为，一经甲方发现，甲方有权立即解除合同，且要求乙方退回甲方就维修问题部分、问题货物已支付的全部款项；甲方还有权要求乙方支付违约金（计算标准为：维修问题部分、问题货物总额的5倍或合同总额的30%，二者取较高值），除此之外，乙方还应承担前述行为造成的全部损失赔偿责任。</w:t>
      </w:r>
    </w:p>
    <w:p w14:paraId="232ACDA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三、质保期及质保责任：</w:t>
      </w:r>
    </w:p>
    <w:p w14:paraId="049A5D1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auto"/>
          <w:sz w:val="28"/>
          <w:szCs w:val="28"/>
          <w:lang w:val="en-US" w:eastAsia="zh-CN"/>
        </w:rPr>
        <w:t>1、乙方对甲方设备维修及校验后，应满足甲方使用要求，质保期内合同设备维修及校验完毕，经甲方验收合格之日起12个月满。</w:t>
      </w:r>
      <w:r>
        <w:rPr>
          <w:rFonts w:hint="eastAsia" w:ascii="仿宋" w:hAnsi="仿宋" w:eastAsia="仿宋" w:cs="Times New Roman"/>
          <w:color w:val="0000FF"/>
          <w:sz w:val="28"/>
          <w:szCs w:val="28"/>
          <w:lang w:val="en-US" w:eastAsia="zh-CN"/>
        </w:rPr>
        <w:t>（特殊情况可调整，根据实际补充完整，要求写明起算时间和期限）</w:t>
      </w:r>
    </w:p>
    <w:p w14:paraId="0D381DF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2、乙方对设备质量免费维护，包括但不限于免费上门、免费更换零部件、免费重新维修等；如因乙方维修原因造成甲方损失的，同时应赔偿损失，更换后的产品重新计算质保期。</w:t>
      </w:r>
    </w:p>
    <w:p w14:paraId="5D6D542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四、维修方式及地点：</w:t>
      </w:r>
    </w:p>
    <w:p w14:paraId="60C02F1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乙方到甲方现场维修及校验</w:t>
      </w:r>
      <w:r>
        <w:rPr>
          <w:rFonts w:hint="eastAsia" w:ascii="仿宋" w:hAnsi="仿宋" w:eastAsia="仿宋" w:cs="Times New Roman"/>
          <w:color w:val="0000FF"/>
          <w:sz w:val="28"/>
          <w:szCs w:val="28"/>
          <w:lang w:val="en-US" w:eastAsia="zh-CN"/>
        </w:rPr>
        <w:t>（如乙方将设备拉走维修校验，需增加：维修完成后负责运回至甲方处并办理设备交接手续）</w:t>
      </w:r>
      <w:r>
        <w:rPr>
          <w:rFonts w:hint="eastAsia" w:ascii="仿宋" w:hAnsi="仿宋" w:eastAsia="仿宋" w:cs="Times New Roman"/>
          <w:color w:val="auto"/>
          <w:sz w:val="28"/>
          <w:szCs w:val="28"/>
          <w:lang w:val="en-US" w:eastAsia="zh-CN"/>
        </w:rPr>
        <w:t>，维修及校验所需物资、运输、维修前后装卸等全部费用由乙方负责，且已包含在合同单价中。乙方需对运输过程中的设备安全负责，若出现设备损坏、丢失、第三方损失等，需承担赔偿责任。</w:t>
      </w:r>
    </w:p>
    <w:p w14:paraId="721AF00B">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五、验收标准及提出异议的期限：</w:t>
      </w:r>
    </w:p>
    <w:p w14:paraId="735D185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1、维修结束后</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**】日内甲方</w:t>
      </w:r>
      <w:r>
        <w:rPr>
          <w:rFonts w:hint="eastAsia" w:ascii="仿宋" w:hAnsi="仿宋" w:eastAsia="仿宋" w:cs="Arial"/>
          <w:bCs/>
          <w:color w:val="auto"/>
          <w:sz w:val="28"/>
          <w:szCs w:val="28"/>
          <w:highlight w:val="none"/>
        </w:rPr>
        <w:t>按本合同的第二条标准验收</w:t>
      </w:r>
      <w:r>
        <w:rPr>
          <w:rFonts w:hint="eastAsia" w:ascii="仿宋" w:hAnsi="仿宋" w:eastAsia="仿宋" w:cs="Times New Roman"/>
          <w:color w:val="auto"/>
          <w:sz w:val="28"/>
          <w:szCs w:val="28"/>
          <w:lang w:val="en-US" w:eastAsia="zh-CN"/>
        </w:rPr>
        <w:t>，该验收</w:t>
      </w:r>
      <w:r>
        <w:rPr>
          <w:rFonts w:hint="eastAsia" w:ascii="仿宋" w:hAnsi="仿宋" w:eastAsia="仿宋"/>
          <w:sz w:val="28"/>
          <w:szCs w:val="28"/>
          <w:lang w:val="en-US" w:eastAsia="zh-CN"/>
        </w:rPr>
        <w:t>并不免除乙方日后经甲方或第三方检验不合格的责任。</w:t>
      </w:r>
      <w:r>
        <w:rPr>
          <w:rFonts w:hint="eastAsia" w:ascii="仿宋" w:hAnsi="仿宋" w:eastAsia="仿宋" w:cs="Times New Roman"/>
          <w:color w:val="auto"/>
          <w:sz w:val="28"/>
          <w:szCs w:val="28"/>
          <w:lang w:val="en-US" w:eastAsia="zh-CN"/>
        </w:rPr>
        <w:t>甲方提出异议的期限为甲方验收合格之日起至质保期满，以电话、书面形式或电子邮件向乙方提出。</w:t>
      </w:r>
    </w:p>
    <w:p w14:paraId="39E9E70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质保期内，若乙方接到甲方就有关维修质量异议的通知后4小时内无书面答复或怠于处理的视为认可异议内容，除按合同第三款承担质保责任外，还应向甲方支付合同总金额30%的违约金，同时甲方有权自行或联系第三方处理，产生的费用由乙方全部承担。</w:t>
      </w:r>
    </w:p>
    <w:p w14:paraId="1E9AF613">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六、结算方式和付款时间：</w:t>
      </w:r>
    </w:p>
    <w:p w14:paraId="15F27AD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1、结算方式为银行电汇或银行承兑汇票。设备维修及校验完毕,经甲方使用合格且达到技术要求后，由甲方出具验收合格报告一份，乙方向甲方开具合同总价税率为13%</w:t>
      </w:r>
      <w:r>
        <w:rPr>
          <w:rFonts w:hint="eastAsia" w:ascii="仿宋" w:hAnsi="仿宋" w:eastAsia="仿宋" w:cs="仿宋"/>
          <w:b w:val="0"/>
          <w:bCs w:val="0"/>
          <w:color w:val="auto"/>
          <w:spacing w:val="-23"/>
          <w:w w:val="113"/>
          <w:sz w:val="28"/>
          <w:szCs w:val="28"/>
          <w:u w:val="single" w:color="FFFFFF"/>
          <w:lang w:val="en-US" w:eastAsia="zh-CN"/>
        </w:rPr>
        <w:t>符合税法要求的</w:t>
      </w:r>
      <w:r>
        <w:rPr>
          <w:rFonts w:hint="eastAsia" w:ascii="仿宋" w:hAnsi="仿宋" w:eastAsia="仿宋" w:cs="Times New Roman"/>
          <w:color w:val="auto"/>
          <w:sz w:val="28"/>
          <w:szCs w:val="28"/>
          <w:lang w:val="en-US" w:eastAsia="zh-CN"/>
        </w:rPr>
        <w:t>增值税专用发票，甲方收到审核无误后10个工作日之内入账，自入账之日起90个工作日内支付相应款项。</w:t>
      </w:r>
    </w:p>
    <w:p w14:paraId="5180C72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cs="Times New Roman"/>
          <w:color w:val="auto"/>
          <w:sz w:val="28"/>
          <w:szCs w:val="28"/>
          <w:lang w:val="en-US" w:eastAsia="zh-CN"/>
        </w:rPr>
        <w:t>2、</w:t>
      </w:r>
      <w:r>
        <w:rPr>
          <w:rFonts w:hint="eastAsia" w:ascii="仿宋" w:hAnsi="仿宋" w:eastAsia="仿宋" w:cs="仿宋"/>
          <w:b w:val="0"/>
          <w:bCs/>
          <w:kern w:val="2"/>
          <w:sz w:val="28"/>
          <w:szCs w:val="28"/>
          <w:lang w:val="en-US" w:eastAsia="zh-CN" w:bidi="ar-SA"/>
        </w:rPr>
        <w:t>如因乙方提供发票不合规导致甲方补缴税款、滞纳金、罚款等其他相关损失的，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应向</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支付合同总额</w:t>
      </w:r>
      <w:r>
        <w:rPr>
          <w:rFonts w:hint="eastAsia" w:ascii="仿宋" w:hAnsi="仿宋" w:eastAsia="仿宋" w:cs="仿宋"/>
          <w:sz w:val="28"/>
          <w:szCs w:val="28"/>
          <w:lang w:val="en-US" w:eastAsia="zh-CN"/>
        </w:rPr>
        <w:t>30</w:t>
      </w:r>
      <w:r>
        <w:rPr>
          <w:rFonts w:hint="default" w:ascii="仿宋" w:hAnsi="仿宋" w:eastAsia="仿宋" w:cs="仿宋"/>
          <w:sz w:val="28"/>
          <w:szCs w:val="28"/>
          <w:lang w:val="en-US" w:eastAsia="zh-CN"/>
        </w:rPr>
        <w:t>%的违约金，违约金不足以弥补</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应赔偿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实际损失</w:t>
      </w:r>
      <w:r>
        <w:rPr>
          <w:rFonts w:hint="eastAsia" w:ascii="仿宋" w:hAnsi="仿宋" w:eastAsia="仿宋"/>
          <w:sz w:val="28"/>
          <w:szCs w:val="28"/>
          <w:lang w:val="en-US" w:eastAsia="zh-CN"/>
        </w:rPr>
        <w:t>。</w:t>
      </w:r>
    </w:p>
    <w:p w14:paraId="62D3D1C8">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3、乙方因本合同产生的违约金及损失赔偿金甲方有权从保证金或应付款中 直接扣除。</w:t>
      </w:r>
    </w:p>
    <w:p w14:paraId="34A728B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七、违约责任：</w:t>
      </w:r>
    </w:p>
    <w:p w14:paraId="5CE0F31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1、乙方每延期一天维修完成应向甲方支付合同总价的0.5%作为违约金，超过7天甲方可单方解除合同。</w:t>
      </w:r>
    </w:p>
    <w:p w14:paraId="37D9D7E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2、因甲方原因导致未能在规定的期限内付清货款，逾期后双方应先协商解决，如协商未果，经诉讼程序解决的，甲方应当依据合同订立时1年期贷款市场报价利率向乙方支付逾期付款利息。</w:t>
      </w:r>
    </w:p>
    <w:p w14:paraId="22C6557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3、若乙方所维修及校验费用、提供的备品备件等维修所需货物价格高于市场价格或乙方同行业价格或甲方同行业价格20%以上且无法做出合理解释的，乙方应向甲方支付差价2倍的违约金和合同总额10%违约金</w:t>
      </w:r>
      <w:r>
        <w:rPr>
          <w:rFonts w:hint="eastAsia" w:ascii="仿宋" w:hAnsi="仿宋" w:eastAsia="仿宋" w:cs="仿宋"/>
          <w:color w:val="auto"/>
          <w:spacing w:val="2"/>
          <w:sz w:val="28"/>
          <w:szCs w:val="28"/>
          <w:lang w:val="en-US" w:eastAsia="zh-CN"/>
        </w:rPr>
        <w:t>的数额之和</w:t>
      </w:r>
      <w:r>
        <w:rPr>
          <w:rFonts w:hint="eastAsia" w:ascii="仿宋" w:hAnsi="仿宋" w:eastAsia="仿宋" w:cs="Times New Roman"/>
          <w:color w:val="auto"/>
          <w:sz w:val="28"/>
          <w:szCs w:val="28"/>
          <w:lang w:val="en-US" w:eastAsia="zh-CN"/>
        </w:rPr>
        <w:t>，甲方有权单方终止合同且不承担任何责任。</w:t>
      </w:r>
    </w:p>
    <w:p w14:paraId="70BF4F1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若由于乙方原因使所维修设备或甲方相关配套设备受损或者报废，甲方有权立即解除合同，乙方需按设备价值赔偿甲方，影响甲方生产的，同时应承担因此造成的甲方生产经济损失，并按本合同约定承担违约责任。</w:t>
      </w:r>
    </w:p>
    <w:p w14:paraId="056859A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5、因乙方违约原因甲方暂停支付货款的，甲方不承担任何逾期付款责任。</w:t>
      </w:r>
    </w:p>
    <w:p w14:paraId="5723C4F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6、未经甲方书面同意，乙方不得将本合同权利义务转让给任何第三方，乙方违反本条约定擅自转让的，乙方应按双方最终结算价款总额的30%向甲方支付违约金。</w:t>
      </w:r>
    </w:p>
    <w:p w14:paraId="7DB7502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auto"/>
          <w:sz w:val="28"/>
          <w:szCs w:val="28"/>
          <w:lang w:val="en-US" w:eastAsia="zh-CN"/>
        </w:rPr>
        <w:t>7、乙方保证其为本合同项下维修服务所需设备、材料、技术及服务的合法提供者，拥有完整权利与甲方签订并履行本合同。</w:t>
      </w:r>
      <w:r>
        <w:rPr>
          <w:rFonts w:hint="default" w:ascii="仿宋" w:hAnsi="仿宋" w:eastAsia="仿宋" w:cs="仿宋"/>
          <w:sz w:val="28"/>
          <w:szCs w:val="28"/>
          <w:lang w:val="en-US" w:eastAsia="zh-CN"/>
        </w:rPr>
        <w:t>如果</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受到任何第三方的侵权指控，由</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负责与第三方交涉处理，并承担一切由此引起的法律上和经济上的责任，从而使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免受由于第三方索赔从法律及经济责任上所造成的损害，如因此造成</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直接与间接损失的，由</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承担全部赔偿责任。</w:t>
      </w:r>
    </w:p>
    <w:p w14:paraId="5F597FA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、若</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采取不恰当的异议处理方式，并给</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生产经营或信誉造成负面影响，</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有权终止其所有关联公司的业务合作。</w:t>
      </w:r>
    </w:p>
    <w:p w14:paraId="2E2424B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出现包括但不限于上述违约行为的，</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有权解除合同。</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解除合同的，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除应按本合同约定的条款支付违约金，还应向</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支付合同总额30%的违约金，违约金不足以弥补</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应赔偿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实际损失。</w:t>
      </w:r>
    </w:p>
    <w:p w14:paraId="35546213">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八</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通知与送达</w:t>
      </w:r>
    </w:p>
    <w:p w14:paraId="472AA9D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b w:val="0"/>
          <w:bCs/>
          <w:kern w:val="2"/>
          <w:sz w:val="28"/>
          <w:szCs w:val="28"/>
          <w:lang w:val="en-US" w:eastAsia="zh-CN" w:bidi="ar-SA"/>
        </w:rPr>
        <w:t>甲乙双方认同在本合同中留存的联系方式为有效联系方式，一方变更联系方式、地址或联系人的，应当在变更前3日内书面通知对方，否则以原地址或联系人为准。对方当事人实际收到变更通知前的送达仍为有效送达，电子送达与书面送达具有同等法律效力</w:t>
      </w:r>
      <w:r>
        <w:rPr>
          <w:rFonts w:hint="eastAsia" w:ascii="仿宋" w:hAnsi="仿宋" w:eastAsia="仿宋" w:cs="仿宋"/>
          <w:b w:val="0"/>
          <w:bCs w:val="0"/>
          <w:color w:val="auto"/>
          <w:sz w:val="28"/>
          <w:szCs w:val="28"/>
          <w:highlight w:val="none"/>
          <w:u w:val="none"/>
          <w:lang w:val="en-US" w:eastAsia="zh-CN"/>
        </w:rPr>
        <w:t>。</w:t>
      </w:r>
    </w:p>
    <w:p w14:paraId="7424D27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0749B40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3、乙方的开户银行、账户名称、银行账号以本合同提供的为准。通知地址的适用范围包括各方发生纠纷进入诉讼、仲裁程序时法律文书及其他相关文件的送达。</w:t>
      </w:r>
    </w:p>
    <w:p w14:paraId="522E9D3F">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九</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不可抗力</w:t>
      </w:r>
    </w:p>
    <w:p w14:paraId="6107D02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sz w:val="28"/>
          <w:szCs w:val="28"/>
          <w:highlight w:val="none"/>
        </w:rPr>
        <w:t>不可抗力指签署本合同时各方不能预见、不能避免、不能克服且导致本合同全部或者部分不能履行或者不能按时履行的客观情况，包括但不限于政府行为、国家政策（危化品运输限制）、大雪、疫情、自然灾害、火灾、爆炸、台风、洪水、地震、海啸、雷电或战争、环保检查等突发情况。任何信用、资本或资金短缺不应当视为本合同项下不可抗力事件的范围</w:t>
      </w:r>
      <w:r>
        <w:rPr>
          <w:rFonts w:hint="eastAsia" w:ascii="仿宋" w:hAnsi="仿宋" w:eastAsia="仿宋" w:cs="仿宋"/>
          <w:sz w:val="28"/>
          <w:szCs w:val="28"/>
          <w:highlight w:val="none"/>
          <w:lang w:eastAsia="zh-CN"/>
        </w:rPr>
        <w:t>。</w:t>
      </w:r>
    </w:p>
    <w:p w14:paraId="3DF69E0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2、因不可抗力</w:t>
      </w:r>
      <w:r>
        <w:rPr>
          <w:rFonts w:hint="eastAsia" w:ascii="仿宋" w:hAnsi="仿宋" w:eastAsia="仿宋" w:cs="仿宋"/>
          <w:sz w:val="28"/>
          <w:szCs w:val="28"/>
          <w:highlight w:val="none"/>
        </w:rPr>
        <w:t>不能履行或不能完全履行</w:t>
      </w:r>
      <w:r>
        <w:rPr>
          <w:rFonts w:hint="default" w:ascii="仿宋" w:hAnsi="仿宋" w:eastAsia="仿宋" w:cs="仿宋"/>
          <w:sz w:val="28"/>
          <w:szCs w:val="28"/>
          <w:lang w:val="en-US" w:eastAsia="zh-CN"/>
        </w:rPr>
        <w:t>合同一方应将此类事件的发生通知合同另一方，并应在不可抗力事件发生后</w:t>
      </w:r>
      <w:r>
        <w:rPr>
          <w:rFonts w:hint="eastAsia" w:ascii="仿宋" w:hAnsi="仿宋" w:eastAsia="仿宋" w:cs="仿宋"/>
          <w:sz w:val="28"/>
          <w:szCs w:val="28"/>
          <w:u w:val="none"/>
          <w:lang w:val="en-US" w:eastAsia="zh-CN"/>
        </w:rPr>
        <w:t>十</w:t>
      </w:r>
      <w:r>
        <w:rPr>
          <w:rFonts w:hint="default" w:ascii="仿宋" w:hAnsi="仿宋" w:eastAsia="仿宋" w:cs="仿宋"/>
          <w:sz w:val="28"/>
          <w:szCs w:val="28"/>
          <w:lang w:val="en-US" w:eastAsia="zh-CN"/>
        </w:rPr>
        <w:t>日内将</w:t>
      </w:r>
      <w:r>
        <w:rPr>
          <w:rFonts w:hint="eastAsia" w:ascii="仿宋" w:hAnsi="仿宋" w:eastAsia="仿宋" w:cs="仿宋"/>
          <w:sz w:val="28"/>
          <w:szCs w:val="28"/>
          <w:lang w:val="en-US" w:eastAsia="zh-CN"/>
        </w:rPr>
        <w:t>官方</w:t>
      </w:r>
      <w:r>
        <w:rPr>
          <w:rFonts w:hint="default" w:ascii="仿宋" w:hAnsi="仿宋" w:eastAsia="仿宋" w:cs="仿宋"/>
          <w:sz w:val="28"/>
          <w:szCs w:val="28"/>
          <w:lang w:val="en-US" w:eastAsia="zh-CN"/>
        </w:rPr>
        <w:t>或机构出具的证明文件提交给合同另一方。</w:t>
      </w:r>
    </w:p>
    <w:p w14:paraId="64E912C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3、</w:t>
      </w:r>
      <w:r>
        <w:rPr>
          <w:rFonts w:hint="default" w:ascii="仿宋" w:hAnsi="仿宋" w:eastAsia="仿宋" w:cs="仿宋"/>
          <w:sz w:val="28"/>
          <w:szCs w:val="28"/>
          <w:lang w:val="en-US" w:eastAsia="zh-CN"/>
        </w:rPr>
        <w:t>受不可抗力事件影响的合同一方对于不可抗力事件导致的任何合同义务的迟延履行或不能履行不承担责任。但该合同方应尽快将不可抗力事件结束或其影响消除的情况通知合同另一方。</w:t>
      </w:r>
    </w:p>
    <w:p w14:paraId="2EC7ACE3">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安全环保条款</w:t>
      </w:r>
    </w:p>
    <w:p w14:paraId="235FD0B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关于安全、环保、职业健康的特别约定：甲乙双方在维修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0CA19D9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2、乙方人员及车辆在甲方区域内应遵守甲方的安全环保等各项规定，服从现场人员指挥。未经许可，不得在甲方厂区内自行装卸货物、拆解包装、动用现场工具设备等，不得在厂区内抽烟，否则这些违规行为造成的一切后果由乙方承担。乙方人员应</w:t>
      </w:r>
      <w:r>
        <w:rPr>
          <w:rFonts w:hint="eastAsia" w:ascii="仿宋" w:hAnsi="仿宋" w:eastAsia="仿宋" w:cs="仿宋"/>
          <w:color w:val="auto"/>
          <w:sz w:val="28"/>
          <w:szCs w:val="28"/>
          <w:lang w:val="en-US" w:eastAsia="zh-CN"/>
        </w:rPr>
        <w:t>遵守甲方现场安全管理规章制度，</w:t>
      </w:r>
      <w:r>
        <w:rPr>
          <w:rFonts w:hint="eastAsia" w:ascii="仿宋" w:hAnsi="仿宋" w:eastAsia="仿宋" w:cs="Times New Roman"/>
          <w:color w:val="auto"/>
          <w:sz w:val="28"/>
          <w:szCs w:val="28"/>
          <w:lang w:val="en-US" w:eastAsia="zh-CN"/>
        </w:rPr>
        <w:t>并作好自我安全防护措施，</w:t>
      </w:r>
      <w:r>
        <w:rPr>
          <w:rFonts w:hint="eastAsia" w:ascii="仿宋" w:hAnsi="仿宋" w:eastAsia="仿宋" w:cs="仿宋"/>
          <w:color w:val="auto"/>
          <w:sz w:val="28"/>
          <w:szCs w:val="28"/>
          <w:lang w:val="en-US" w:eastAsia="zh-CN"/>
        </w:rPr>
        <w:t>因乙方原因发生不安全事件由乙方自行承担责任。</w:t>
      </w:r>
    </w:p>
    <w:p w14:paraId="62D2D3AD">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十一</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廉洁条款</w:t>
      </w:r>
    </w:p>
    <w:p w14:paraId="6D91975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b w:val="0"/>
          <w:bCs w:val="0"/>
          <w:sz w:val="28"/>
          <w:szCs w:val="28"/>
          <w:u w:val="single" w:color="FFFFFF"/>
        </w:rPr>
      </w:pPr>
      <w:r>
        <w:rPr>
          <w:rFonts w:hint="eastAsia" w:ascii="仿宋" w:hAnsi="仿宋" w:eastAsia="仿宋" w:cs="仿宋"/>
          <w:sz w:val="28"/>
          <w:szCs w:val="28"/>
          <w:lang w:val="en-US" w:eastAsia="zh-CN"/>
        </w:rPr>
        <w:t>1、甲乙双方应当自觉遵守国家有关法律法规和党风廉政建设等各项规定，严格杜绝违法违规行为的发生；</w:t>
      </w:r>
      <w:r>
        <w:rPr>
          <w:rFonts w:hint="eastAsia" w:ascii="仿宋" w:hAnsi="仿宋" w:eastAsia="仿宋"/>
          <w:b w:val="0"/>
          <w:bCs w:val="0"/>
          <w:sz w:val="28"/>
          <w:szCs w:val="28"/>
          <w:u w:val="single" w:color="FFFFFF"/>
          <w:lang w:eastAsia="zh-CN"/>
        </w:rPr>
        <w:t>乙方须与甲方另行签订廉政协议并遵照执行</w:t>
      </w:r>
      <w:r>
        <w:rPr>
          <w:rFonts w:hint="eastAsia" w:ascii="仿宋" w:hAnsi="仿宋" w:eastAsia="仿宋"/>
          <w:b w:val="0"/>
          <w:bCs w:val="0"/>
          <w:sz w:val="28"/>
          <w:szCs w:val="28"/>
          <w:u w:val="single" w:color="FFFFFF"/>
        </w:rPr>
        <w:t>。</w:t>
      </w:r>
    </w:p>
    <w:p w14:paraId="6B973DB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b w:val="0"/>
          <w:bCs w:val="0"/>
          <w:sz w:val="28"/>
          <w:szCs w:val="28"/>
          <w:u w:val="single" w:color="FFFFFF"/>
          <w:lang w:val="en-US" w:eastAsia="zh-CN"/>
        </w:rPr>
        <w:t>2、</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相关人员若对</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相关人员有行贿等商业不正当交往情形，</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lang w:val="en-US" w:eastAsia="zh-CN"/>
        </w:rPr>
        <w:t>有权</w:t>
      </w:r>
      <w:r>
        <w:rPr>
          <w:rFonts w:hint="eastAsia" w:ascii="仿宋" w:hAnsi="仿宋" w:eastAsia="仿宋" w:cs="仿宋"/>
          <w:color w:val="auto"/>
          <w:sz w:val="28"/>
          <w:szCs w:val="28"/>
        </w:rPr>
        <w:t>停止向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支付合同</w:t>
      </w:r>
      <w:r>
        <w:rPr>
          <w:rFonts w:hint="eastAsia" w:ascii="仿宋" w:hAnsi="仿宋" w:eastAsia="仿宋" w:cs="仿宋"/>
          <w:color w:val="auto"/>
          <w:sz w:val="28"/>
          <w:szCs w:val="28"/>
          <w:lang w:val="en-US" w:eastAsia="zh-CN"/>
        </w:rPr>
        <w:t>价</w:t>
      </w:r>
      <w:r>
        <w:rPr>
          <w:rFonts w:hint="eastAsia" w:ascii="仿宋" w:hAnsi="仿宋" w:eastAsia="仿宋" w:cs="仿宋"/>
          <w:color w:val="auto"/>
          <w:sz w:val="28"/>
          <w:szCs w:val="28"/>
        </w:rPr>
        <w:t>款，直至上述情形</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主动配合调查清楚；</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同时有权扣除</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合同总额</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0%的货款作为违约金</w:t>
      </w:r>
      <w:r>
        <w:rPr>
          <w:rFonts w:hint="eastAsia" w:ascii="仿宋" w:hAnsi="仿宋" w:eastAsia="仿宋" w:cs="仿宋"/>
          <w:color w:val="auto"/>
          <w:sz w:val="28"/>
          <w:szCs w:val="28"/>
          <w:lang w:eastAsia="zh-CN"/>
        </w:rPr>
        <w:t>。</w:t>
      </w:r>
    </w:p>
    <w:p w14:paraId="2A0DC2AB">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十二</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保密条款</w:t>
      </w:r>
    </w:p>
    <w:p w14:paraId="3EC0F15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无论本合同是否实际生效并被履行，双方对在订立、履行本合同过程中知悉的双方尚未向社会公开的技术、商业情报和资料均负有保密义务，不得泄密或者不正当使用。在本合同终止之后，双方仍需履行本合同项下的保密业务，直至对方同意解除此项业务，或事实上不会因违反本合同的保密条款而给对方造成任何形式的损害为止。</w:t>
      </w:r>
    </w:p>
    <w:p w14:paraId="4A4E213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第十三条、其它约定事项：</w:t>
      </w:r>
    </w:p>
    <w:p w14:paraId="6904AEB1">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8"/>
          <w:szCs w:val="28"/>
        </w:rPr>
      </w:pPr>
      <w:r>
        <w:rPr>
          <w:rFonts w:hint="eastAsia" w:ascii="仿宋" w:hAnsi="仿宋" w:eastAsia="仿宋" w:cs="Times New Roman"/>
          <w:color w:val="auto"/>
          <w:sz w:val="28"/>
          <w:szCs w:val="28"/>
          <w:lang w:val="en-US" w:eastAsia="zh-CN"/>
        </w:rPr>
        <w:t>1、</w:t>
      </w:r>
      <w:r>
        <w:rPr>
          <w:rFonts w:hint="eastAsia" w:ascii="仿宋" w:hAnsi="仿宋" w:eastAsia="仿宋" w:cs="仿宋"/>
          <w:color w:val="000000"/>
          <w:sz w:val="28"/>
          <w:szCs w:val="28"/>
          <w:highlight w:val="none"/>
        </w:rPr>
        <w:t>凡因本合同引起的或与本合同有关的任何争议</w:t>
      </w:r>
      <w:r>
        <w:rPr>
          <w:rFonts w:hint="eastAsia" w:ascii="仿宋" w:hAnsi="仿宋" w:eastAsia="仿宋" w:cs="仿宋"/>
          <w:color w:val="000000"/>
          <w:sz w:val="28"/>
          <w:szCs w:val="28"/>
          <w:highlight w:val="none"/>
          <w:lang w:eastAsia="zh-CN"/>
        </w:rPr>
        <w:t>，</w:t>
      </w:r>
      <w:r>
        <w:rPr>
          <w:rFonts w:hint="eastAsia" w:ascii="仿宋" w:hAnsi="仿宋" w:eastAsia="仿宋" w:cs="Arial"/>
          <w:bCs/>
          <w:sz w:val="28"/>
          <w:szCs w:val="28"/>
        </w:rPr>
        <w:t>双方</w:t>
      </w:r>
      <w:r>
        <w:rPr>
          <w:rFonts w:hint="eastAsia" w:ascii="仿宋" w:hAnsi="仿宋" w:eastAsia="仿宋" w:cs="Arial"/>
          <w:bCs/>
          <w:sz w:val="28"/>
          <w:szCs w:val="28"/>
          <w:lang w:val="en-US" w:eastAsia="zh-CN"/>
        </w:rPr>
        <w:t>应</w:t>
      </w:r>
      <w:r>
        <w:rPr>
          <w:rFonts w:hint="eastAsia" w:ascii="仿宋" w:hAnsi="仿宋" w:eastAsia="仿宋" w:cs="Arial"/>
          <w:bCs/>
          <w:sz w:val="28"/>
          <w:szCs w:val="28"/>
        </w:rPr>
        <w:t>友好协商</w:t>
      </w:r>
      <w:r>
        <w:rPr>
          <w:rFonts w:hint="eastAsia" w:ascii="仿宋" w:hAnsi="仿宋" w:eastAsia="仿宋" w:cs="Arial"/>
          <w:bCs/>
          <w:sz w:val="28"/>
          <w:szCs w:val="28"/>
          <w:lang w:eastAsia="zh-CN"/>
        </w:rPr>
        <w:t>。</w:t>
      </w:r>
      <w:r>
        <w:rPr>
          <w:rFonts w:hint="eastAsia" w:ascii="仿宋" w:hAnsi="仿宋" w:eastAsia="仿宋" w:cs="Arial"/>
          <w:bCs/>
          <w:sz w:val="28"/>
          <w:szCs w:val="28"/>
        </w:rPr>
        <w:t>协商不成</w:t>
      </w:r>
      <w:r>
        <w:rPr>
          <w:rFonts w:hint="eastAsia" w:ascii="仿宋" w:hAnsi="仿宋" w:eastAsia="仿宋" w:cs="Arial"/>
          <w:bCs/>
          <w:sz w:val="28"/>
          <w:szCs w:val="28"/>
          <w:lang w:val="en-US" w:eastAsia="zh-CN"/>
        </w:rPr>
        <w:t>的，可</w:t>
      </w:r>
      <w:r>
        <w:rPr>
          <w:rFonts w:hint="eastAsia" w:ascii="仿宋" w:hAnsi="仿宋" w:eastAsia="仿宋" w:cs="Arial"/>
          <w:bCs/>
          <w:sz w:val="28"/>
          <w:szCs w:val="28"/>
        </w:rPr>
        <w:t>提交</w:t>
      </w:r>
      <w:r>
        <w:rPr>
          <w:rFonts w:hint="eastAsia" w:ascii="仿宋" w:hAnsi="仿宋" w:eastAsia="仿宋" w:cs="Arial"/>
          <w:bCs/>
          <w:sz w:val="28"/>
          <w:szCs w:val="28"/>
          <w:lang w:val="en-US" w:eastAsia="zh-CN"/>
        </w:rPr>
        <w:t>甲</w:t>
      </w:r>
      <w:r>
        <w:rPr>
          <w:rFonts w:hint="eastAsia" w:ascii="仿宋" w:hAnsi="仿宋" w:eastAsia="仿宋" w:cs="Arial"/>
          <w:bCs/>
          <w:sz w:val="28"/>
          <w:szCs w:val="28"/>
        </w:rPr>
        <w:t>方所在地人民法院</w:t>
      </w:r>
      <w:r>
        <w:rPr>
          <w:rFonts w:hint="eastAsia" w:ascii="仿宋" w:hAnsi="仿宋" w:eastAsia="仿宋" w:cs="Arial"/>
          <w:bCs/>
          <w:sz w:val="28"/>
          <w:szCs w:val="28"/>
          <w:lang w:val="en-US" w:eastAsia="zh-CN"/>
        </w:rPr>
        <w:t>解决</w:t>
      </w:r>
      <w:r>
        <w:rPr>
          <w:rFonts w:hint="eastAsia" w:ascii="仿宋" w:hAnsi="仿宋" w:eastAsia="仿宋" w:cs="Arial"/>
          <w:bCs/>
          <w:sz w:val="28"/>
          <w:szCs w:val="28"/>
        </w:rPr>
        <w:t>。</w:t>
      </w:r>
    </w:p>
    <w:p w14:paraId="3D5B079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Arial"/>
          <w:bCs/>
          <w:sz w:val="28"/>
          <w:szCs w:val="28"/>
          <w:lang w:val="en-US" w:eastAsia="zh-CN"/>
        </w:rPr>
        <w:t>2、</w:t>
      </w:r>
      <w:r>
        <w:rPr>
          <w:rFonts w:hint="eastAsia" w:ascii="仿宋" w:hAnsi="仿宋" w:eastAsia="仿宋" w:cs="Arial"/>
          <w:bCs/>
          <w:sz w:val="28"/>
          <w:szCs w:val="28"/>
        </w:rPr>
        <w:t>因处理争议而产生的诉讼费或仲裁费、</w:t>
      </w:r>
      <w:r>
        <w:rPr>
          <w:rFonts w:hint="eastAsia" w:ascii="仿宋" w:hAnsi="仿宋" w:eastAsia="仿宋" w:cs="Arial"/>
          <w:bCs/>
          <w:sz w:val="28"/>
          <w:szCs w:val="28"/>
          <w:lang w:val="en-US" w:eastAsia="zh-CN"/>
        </w:rPr>
        <w:t>保全费、</w:t>
      </w:r>
      <w:r>
        <w:rPr>
          <w:rFonts w:hint="eastAsia" w:ascii="仿宋" w:hAnsi="仿宋" w:eastAsia="仿宋" w:cs="Arial"/>
          <w:bCs/>
          <w:sz w:val="28"/>
          <w:szCs w:val="28"/>
        </w:rPr>
        <w:t>公告费、律师代理费、差旅费等全部费用，由违约方承担。</w:t>
      </w:r>
    </w:p>
    <w:p w14:paraId="40227DE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3、在维修及校验过程中，若发现双方约定的维修内容有任何漏项或短缺，在合同中并未列入但确实是乙方应满足或达到双方约定的验收标准所必须的，乙方应负责维修和补充，产生的费用由乙方承担。</w:t>
      </w:r>
    </w:p>
    <w:p w14:paraId="61ED7D3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4、合同所附</w:t>
      </w:r>
      <w:r>
        <w:rPr>
          <w:rFonts w:hint="eastAsia" w:ascii="仿宋" w:hAnsi="仿宋" w:eastAsia="仿宋" w:cs="Times New Roman"/>
          <w:color w:val="auto"/>
          <w:sz w:val="28"/>
          <w:szCs w:val="28"/>
          <w:highlight w:val="yellow"/>
          <w:lang w:val="en-US" w:eastAsia="zh-CN"/>
        </w:rPr>
        <w:t>技术协议</w:t>
      </w:r>
      <w:r>
        <w:rPr>
          <w:rFonts w:hint="eastAsia" w:ascii="仿宋" w:hAnsi="仿宋" w:eastAsia="仿宋" w:cs="Times New Roman"/>
          <w:color w:val="auto"/>
          <w:sz w:val="28"/>
          <w:szCs w:val="28"/>
          <w:lang w:val="en-US" w:eastAsia="zh-CN"/>
        </w:rPr>
        <w:t>与本合同具有同等法律效力。</w:t>
      </w:r>
    </w:p>
    <w:p w14:paraId="693DA8C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5、合同所指甲方损失均包含甲方直接和间接损失。</w:t>
      </w:r>
    </w:p>
    <w:p w14:paraId="028C332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6、维修款的付清并不意味着乙方对所维修货物质量责任的解除，若在质保期内出现质量问题，乙方需免费重新维修。（</w:t>
      </w:r>
      <w:r>
        <w:rPr>
          <w:rFonts w:hint="eastAsia" w:ascii="仿宋" w:hAnsi="仿宋" w:eastAsia="仿宋" w:cs="Times New Roman"/>
          <w:color w:val="0000FF"/>
          <w:sz w:val="28"/>
          <w:szCs w:val="28"/>
          <w:lang w:val="en-US" w:eastAsia="zh-CN"/>
        </w:rPr>
        <w:t>若未留质保金须约定此条</w:t>
      </w:r>
      <w:r>
        <w:rPr>
          <w:rFonts w:hint="eastAsia" w:ascii="仿宋" w:hAnsi="仿宋" w:eastAsia="仿宋" w:cs="Times New Roman"/>
          <w:color w:val="auto"/>
          <w:sz w:val="28"/>
          <w:szCs w:val="28"/>
          <w:lang w:val="en-US" w:eastAsia="zh-CN"/>
        </w:rPr>
        <w:t>）</w:t>
      </w:r>
    </w:p>
    <w:p w14:paraId="6ED5863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第十四条、合同有效期：</w:t>
      </w:r>
    </w:p>
    <w:p w14:paraId="5F33D94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本合同自双方签字</w:t>
      </w:r>
      <w:r>
        <w:rPr>
          <w:rFonts w:hint="eastAsia" w:ascii="仿宋" w:hAnsi="仿宋" w:eastAsia="仿宋"/>
          <w:sz w:val="28"/>
          <w:szCs w:val="28"/>
          <w:lang w:val="en-US" w:eastAsia="zh-CN"/>
        </w:rPr>
        <w:t>并</w:t>
      </w:r>
      <w:r>
        <w:rPr>
          <w:rFonts w:hint="eastAsia" w:ascii="仿宋" w:hAnsi="仿宋" w:eastAsia="仿宋"/>
          <w:sz w:val="28"/>
          <w:szCs w:val="28"/>
        </w:rPr>
        <w:t>加盖公章或合同专用章之日起生效。以合同约定通讯方式送达的扫描件与原件具有同等法律效力。</w:t>
      </w:r>
    </w:p>
    <w:p w14:paraId="7E41570A">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lang w:val="en-US" w:eastAsia="zh-CN"/>
        </w:rPr>
        <w:t>2、合同有效</w:t>
      </w:r>
      <w:r>
        <w:rPr>
          <w:rFonts w:hint="eastAsia" w:ascii="仿宋" w:hAnsi="仿宋" w:eastAsia="仿宋"/>
          <w:sz w:val="28"/>
          <w:szCs w:val="28"/>
        </w:rPr>
        <w:t>期限为</w:t>
      </w:r>
      <w:r>
        <w:rPr>
          <w:rFonts w:hint="eastAsia" w:ascii="仿宋" w:hAnsi="仿宋" w:eastAsia="仿宋"/>
          <w:sz w:val="28"/>
          <w:szCs w:val="28"/>
          <w:lang w:val="en-US" w:eastAsia="zh-CN"/>
        </w:rPr>
        <w:t>：自合同生效之日起至货款两清索赔完毕时终止。</w:t>
      </w:r>
    </w:p>
    <w:p w14:paraId="09F16B4A">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本合同一式【</w:t>
      </w:r>
      <w:r>
        <w:rPr>
          <w:rFonts w:hint="eastAsia" w:ascii="仿宋" w:hAnsi="仿宋" w:eastAsia="仿宋"/>
          <w:sz w:val="28"/>
          <w:szCs w:val="28"/>
          <w:lang w:val="en-US" w:eastAsia="zh-CN"/>
        </w:rPr>
        <w:t>6</w:t>
      </w:r>
      <w:r>
        <w:rPr>
          <w:rFonts w:hint="eastAsia" w:ascii="仿宋" w:hAnsi="仿宋" w:eastAsia="仿宋"/>
          <w:sz w:val="28"/>
          <w:szCs w:val="28"/>
        </w:rPr>
        <w:t>】份，</w:t>
      </w:r>
      <w:r>
        <w:rPr>
          <w:rFonts w:hint="eastAsia" w:ascii="仿宋" w:hAnsi="仿宋" w:eastAsia="仿宋"/>
          <w:sz w:val="28"/>
          <w:szCs w:val="28"/>
          <w:lang w:val="en-US" w:eastAsia="zh-CN"/>
        </w:rPr>
        <w:t>甲方</w:t>
      </w:r>
      <w:r>
        <w:rPr>
          <w:rFonts w:hint="eastAsia" w:ascii="仿宋" w:hAnsi="仿宋" w:eastAsia="仿宋"/>
          <w:sz w:val="28"/>
          <w:szCs w:val="28"/>
        </w:rPr>
        <w:t>执【</w:t>
      </w:r>
      <w:r>
        <w:rPr>
          <w:rFonts w:hint="eastAsia" w:ascii="仿宋" w:hAnsi="仿宋" w:eastAsia="仿宋"/>
          <w:sz w:val="28"/>
          <w:szCs w:val="28"/>
          <w:lang w:val="en-US" w:eastAsia="zh-CN"/>
        </w:rPr>
        <w:t>4</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乙方</w:t>
      </w:r>
      <w:r>
        <w:rPr>
          <w:rFonts w:hint="eastAsia" w:ascii="仿宋" w:hAnsi="仿宋" w:eastAsia="仿宋"/>
          <w:sz w:val="28"/>
          <w:szCs w:val="28"/>
        </w:rPr>
        <w:t>执【</w:t>
      </w:r>
      <w:r>
        <w:rPr>
          <w:rFonts w:hint="eastAsia" w:ascii="仿宋" w:hAnsi="仿宋" w:eastAsia="仿宋"/>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具有同等法律效力</w:t>
      </w:r>
      <w:r>
        <w:rPr>
          <w:rFonts w:hint="eastAsia" w:ascii="仿宋" w:hAnsi="仿宋" w:eastAsia="仿宋"/>
          <w:sz w:val="28"/>
          <w:szCs w:val="28"/>
        </w:rPr>
        <w:t>。未尽事宜，双方另行协商确定。</w:t>
      </w:r>
    </w:p>
    <w:p w14:paraId="1DEBFEF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（以下无正文）</w:t>
      </w:r>
    </w:p>
    <w:p w14:paraId="16ABBBB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p>
    <w:tbl>
      <w:tblPr>
        <w:tblStyle w:val="45"/>
        <w:tblpPr w:leftFromText="180" w:rightFromText="180" w:vertAnchor="text" w:horzAnchor="margin" w:tblpXSpec="center" w:tblpY="102"/>
        <w:tblW w:w="9692"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1"/>
        <w:gridCol w:w="4871"/>
      </w:tblGrid>
      <w:tr w14:paraId="269A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7" w:hRule="atLeast"/>
        </w:trPr>
        <w:tc>
          <w:tcPr>
            <w:tcW w:w="4821" w:type="dxa"/>
            <w:noWrap w:val="0"/>
            <w:vAlign w:val="top"/>
          </w:tcPr>
          <w:p w14:paraId="71C8B845">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xml:space="preserve">甲方：     </w:t>
            </w:r>
          </w:p>
          <w:p w14:paraId="65AA004D">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地址：</w:t>
            </w:r>
          </w:p>
          <w:p w14:paraId="64F814B7">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电话：</w:t>
            </w:r>
          </w:p>
          <w:p w14:paraId="2FB44BC3">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税号：</w:t>
            </w:r>
          </w:p>
          <w:p w14:paraId="30FBF5E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开户行：</w:t>
            </w:r>
          </w:p>
          <w:p w14:paraId="48332F0A">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账号：</w:t>
            </w:r>
          </w:p>
          <w:p w14:paraId="4F6FC9CC">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法定代表人或委托代理人：</w:t>
            </w:r>
          </w:p>
        </w:tc>
        <w:tc>
          <w:tcPr>
            <w:tcW w:w="4871" w:type="dxa"/>
            <w:noWrap w:val="0"/>
            <w:vAlign w:val="top"/>
          </w:tcPr>
          <w:p w14:paraId="617D6A89">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乙方:</w:t>
            </w:r>
          </w:p>
          <w:p w14:paraId="45405C10">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税号:</w:t>
            </w:r>
          </w:p>
          <w:p w14:paraId="2595111D">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地址:</w:t>
            </w:r>
          </w:p>
          <w:p w14:paraId="6C3AF888">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电话:</w:t>
            </w:r>
          </w:p>
          <w:p w14:paraId="5CD9E16F">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开户行:</w:t>
            </w:r>
          </w:p>
          <w:p w14:paraId="680087D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账号:</w:t>
            </w:r>
          </w:p>
          <w:p w14:paraId="6B5798CC">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法定代表人或委托代理人：</w:t>
            </w:r>
          </w:p>
        </w:tc>
      </w:tr>
    </w:tbl>
    <w:p w14:paraId="70CF0319">
      <w:pPr>
        <w:spacing w:line="520" w:lineRule="exact"/>
        <w:rPr>
          <w:rFonts w:hint="eastAsia" w:ascii="仿宋" w:hAnsi="仿宋" w:eastAsia="仿宋"/>
          <w:sz w:val="28"/>
          <w:szCs w:val="32"/>
        </w:rPr>
      </w:pPr>
    </w:p>
    <w:p w14:paraId="1D644C77">
      <w:pPr>
        <w:spacing w:line="520" w:lineRule="exact"/>
        <w:rPr>
          <w:rFonts w:hint="eastAsia" w:ascii="仿宋" w:hAnsi="仿宋" w:eastAsia="仿宋"/>
          <w:sz w:val="30"/>
          <w:szCs w:val="30"/>
        </w:rPr>
      </w:pPr>
    </w:p>
    <w:p w14:paraId="2E11D1A3">
      <w:pPr>
        <w:spacing w:line="520" w:lineRule="exact"/>
        <w:rPr>
          <w:rFonts w:ascii="仿宋" w:hAnsi="仿宋" w:eastAsia="仿宋"/>
          <w:sz w:val="28"/>
          <w:szCs w:val="32"/>
        </w:rPr>
      </w:pPr>
      <w:r>
        <w:rPr>
          <w:rFonts w:hint="eastAsia" w:ascii="仿宋" w:hAnsi="仿宋" w:eastAsia="仿宋"/>
          <w:sz w:val="30"/>
          <w:szCs w:val="30"/>
        </w:rPr>
        <w:t>附件</w:t>
      </w:r>
      <w:r>
        <w:rPr>
          <w:rFonts w:hint="eastAsia" w:ascii="仿宋" w:hAnsi="仿宋" w:eastAsia="仿宋"/>
          <w:sz w:val="30"/>
          <w:szCs w:val="30"/>
          <w:lang w:val="en-US" w:eastAsia="zh-CN"/>
        </w:rPr>
        <w:t>7</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差异回复（投标人若对招标要求有异议，可将差异填写在如下表格中，如无差异直接在报价中签字确认）</w:t>
      </w:r>
    </w:p>
    <w:tbl>
      <w:tblPr>
        <w:tblStyle w:val="45"/>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1512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6432760">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14657C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143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30BF257">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DC595B3">
            <w:pPr>
              <w:spacing w:line="520" w:lineRule="exact"/>
              <w:rPr>
                <w:rFonts w:ascii="仿宋" w:hAnsi="仿宋" w:eastAsia="仿宋"/>
                <w:sz w:val="32"/>
                <w:szCs w:val="32"/>
              </w:rPr>
            </w:pPr>
          </w:p>
        </w:tc>
      </w:tr>
      <w:tr w14:paraId="3B6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4D2FA06">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514D9ADE">
            <w:pPr>
              <w:spacing w:line="520" w:lineRule="exact"/>
              <w:rPr>
                <w:rFonts w:ascii="仿宋" w:hAnsi="仿宋" w:eastAsia="仿宋"/>
                <w:sz w:val="32"/>
                <w:szCs w:val="32"/>
              </w:rPr>
            </w:pPr>
          </w:p>
        </w:tc>
      </w:tr>
      <w:tr w14:paraId="590A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119BA1">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358C34C4">
            <w:pPr>
              <w:spacing w:line="520" w:lineRule="exact"/>
              <w:rPr>
                <w:rFonts w:ascii="仿宋" w:hAnsi="仿宋" w:eastAsia="仿宋"/>
                <w:sz w:val="32"/>
                <w:szCs w:val="32"/>
              </w:rPr>
            </w:pPr>
          </w:p>
        </w:tc>
      </w:tr>
    </w:tbl>
    <w:p w14:paraId="63230088">
      <w:pPr>
        <w:spacing w:line="460" w:lineRule="exact"/>
        <w:rPr>
          <w:rFonts w:hint="eastAsia" w:ascii="仿宋" w:hAnsi="仿宋" w:eastAsia="仿宋"/>
          <w:sz w:val="28"/>
          <w:szCs w:val="28"/>
        </w:rPr>
      </w:pPr>
    </w:p>
    <w:sectPr>
      <w:pgSz w:w="11906" w:h="16838"/>
      <w:pgMar w:top="1440" w:right="1416"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7095455"/>
      <w:docPartObj>
        <w:docPartGallery w:val="autotext"/>
      </w:docPartObj>
    </w:sdtPr>
    <w:sdtContent>
      <w:sdt>
        <w:sdtPr>
          <w:id w:val="1728636285"/>
          <w:docPartObj>
            <w:docPartGallery w:val="autotext"/>
          </w:docPartObj>
        </w:sdtPr>
        <w:sdtContent>
          <w:p w14:paraId="44DD309A">
            <w:pPr>
              <w:pStyle w:val="3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7AAF38A">
    <w:pPr>
      <w:pStyle w:val="3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958"/>
    <w:rsid w:val="00017E22"/>
    <w:rsid w:val="00035243"/>
    <w:rsid w:val="00042E4F"/>
    <w:rsid w:val="00063AE7"/>
    <w:rsid w:val="0007561B"/>
    <w:rsid w:val="00087117"/>
    <w:rsid w:val="00093456"/>
    <w:rsid w:val="000A430E"/>
    <w:rsid w:val="000A629A"/>
    <w:rsid w:val="000A63C8"/>
    <w:rsid w:val="000B3BC6"/>
    <w:rsid w:val="000B4A68"/>
    <w:rsid w:val="000C1544"/>
    <w:rsid w:val="000D148B"/>
    <w:rsid w:val="000E227E"/>
    <w:rsid w:val="000F09EB"/>
    <w:rsid w:val="00100ADC"/>
    <w:rsid w:val="001116B8"/>
    <w:rsid w:val="00114267"/>
    <w:rsid w:val="00122D0C"/>
    <w:rsid w:val="00123226"/>
    <w:rsid w:val="00125F20"/>
    <w:rsid w:val="00135396"/>
    <w:rsid w:val="00143BAB"/>
    <w:rsid w:val="00147F6D"/>
    <w:rsid w:val="00152308"/>
    <w:rsid w:val="00152687"/>
    <w:rsid w:val="00162169"/>
    <w:rsid w:val="00172A27"/>
    <w:rsid w:val="00177B74"/>
    <w:rsid w:val="001A2335"/>
    <w:rsid w:val="001B4416"/>
    <w:rsid w:val="001B464F"/>
    <w:rsid w:val="001B7F79"/>
    <w:rsid w:val="001C149E"/>
    <w:rsid w:val="001C457B"/>
    <w:rsid w:val="001D19C8"/>
    <w:rsid w:val="0021384C"/>
    <w:rsid w:val="002212E4"/>
    <w:rsid w:val="00221C74"/>
    <w:rsid w:val="002234D1"/>
    <w:rsid w:val="002502DE"/>
    <w:rsid w:val="00250DF9"/>
    <w:rsid w:val="00255C5F"/>
    <w:rsid w:val="00262E70"/>
    <w:rsid w:val="00264FE9"/>
    <w:rsid w:val="00265237"/>
    <w:rsid w:val="0028579E"/>
    <w:rsid w:val="00286D83"/>
    <w:rsid w:val="00294589"/>
    <w:rsid w:val="00296F40"/>
    <w:rsid w:val="002A5FD4"/>
    <w:rsid w:val="002A7572"/>
    <w:rsid w:val="002C3BBA"/>
    <w:rsid w:val="002D109A"/>
    <w:rsid w:val="002D1AAA"/>
    <w:rsid w:val="002D25FD"/>
    <w:rsid w:val="002D4581"/>
    <w:rsid w:val="002F446C"/>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1A49"/>
    <w:rsid w:val="003829EE"/>
    <w:rsid w:val="00387328"/>
    <w:rsid w:val="0039714B"/>
    <w:rsid w:val="003A3FAE"/>
    <w:rsid w:val="003B2CBC"/>
    <w:rsid w:val="003B2DF9"/>
    <w:rsid w:val="003C6419"/>
    <w:rsid w:val="003F2CE9"/>
    <w:rsid w:val="00420519"/>
    <w:rsid w:val="0043176C"/>
    <w:rsid w:val="00433169"/>
    <w:rsid w:val="00433ADF"/>
    <w:rsid w:val="00435497"/>
    <w:rsid w:val="00446EA7"/>
    <w:rsid w:val="00457BC3"/>
    <w:rsid w:val="00460296"/>
    <w:rsid w:val="00463ACF"/>
    <w:rsid w:val="00465C67"/>
    <w:rsid w:val="00470A4A"/>
    <w:rsid w:val="004710CA"/>
    <w:rsid w:val="00471A96"/>
    <w:rsid w:val="00490210"/>
    <w:rsid w:val="004908D8"/>
    <w:rsid w:val="00495471"/>
    <w:rsid w:val="004B0881"/>
    <w:rsid w:val="004C3A41"/>
    <w:rsid w:val="004D2674"/>
    <w:rsid w:val="004D2CAC"/>
    <w:rsid w:val="004D5E99"/>
    <w:rsid w:val="004E3186"/>
    <w:rsid w:val="004E59FB"/>
    <w:rsid w:val="004F367A"/>
    <w:rsid w:val="004F7266"/>
    <w:rsid w:val="00506F70"/>
    <w:rsid w:val="00514613"/>
    <w:rsid w:val="005250A0"/>
    <w:rsid w:val="00530851"/>
    <w:rsid w:val="005311A5"/>
    <w:rsid w:val="005374D9"/>
    <w:rsid w:val="00537699"/>
    <w:rsid w:val="005410FE"/>
    <w:rsid w:val="00541729"/>
    <w:rsid w:val="00542117"/>
    <w:rsid w:val="00544ADB"/>
    <w:rsid w:val="005451C0"/>
    <w:rsid w:val="005549E6"/>
    <w:rsid w:val="00555326"/>
    <w:rsid w:val="005656DA"/>
    <w:rsid w:val="0056634D"/>
    <w:rsid w:val="0057392F"/>
    <w:rsid w:val="00580C8E"/>
    <w:rsid w:val="00583D0C"/>
    <w:rsid w:val="00590606"/>
    <w:rsid w:val="005A12BF"/>
    <w:rsid w:val="005A5382"/>
    <w:rsid w:val="005C0154"/>
    <w:rsid w:val="005C4626"/>
    <w:rsid w:val="005D0195"/>
    <w:rsid w:val="005D5EC3"/>
    <w:rsid w:val="005D7384"/>
    <w:rsid w:val="005E369F"/>
    <w:rsid w:val="005F0514"/>
    <w:rsid w:val="0060755D"/>
    <w:rsid w:val="00621922"/>
    <w:rsid w:val="00631F12"/>
    <w:rsid w:val="00636282"/>
    <w:rsid w:val="0064219E"/>
    <w:rsid w:val="00642C82"/>
    <w:rsid w:val="00645C47"/>
    <w:rsid w:val="00650AE9"/>
    <w:rsid w:val="00651544"/>
    <w:rsid w:val="00656CBF"/>
    <w:rsid w:val="0067632C"/>
    <w:rsid w:val="00683D50"/>
    <w:rsid w:val="00683DB8"/>
    <w:rsid w:val="00686774"/>
    <w:rsid w:val="006A71E2"/>
    <w:rsid w:val="006C0D2C"/>
    <w:rsid w:val="006E1A10"/>
    <w:rsid w:val="00706CAD"/>
    <w:rsid w:val="0071702B"/>
    <w:rsid w:val="00727848"/>
    <w:rsid w:val="007279F0"/>
    <w:rsid w:val="007543EA"/>
    <w:rsid w:val="0076591A"/>
    <w:rsid w:val="0077126E"/>
    <w:rsid w:val="00773286"/>
    <w:rsid w:val="00774FCB"/>
    <w:rsid w:val="00776876"/>
    <w:rsid w:val="00780F4D"/>
    <w:rsid w:val="00782EEE"/>
    <w:rsid w:val="007A0B55"/>
    <w:rsid w:val="007B1C1F"/>
    <w:rsid w:val="007B20A3"/>
    <w:rsid w:val="007B426B"/>
    <w:rsid w:val="007B5AF5"/>
    <w:rsid w:val="007C0605"/>
    <w:rsid w:val="007C2853"/>
    <w:rsid w:val="007C393C"/>
    <w:rsid w:val="007C7177"/>
    <w:rsid w:val="007E2D45"/>
    <w:rsid w:val="007F10B8"/>
    <w:rsid w:val="007F123A"/>
    <w:rsid w:val="008069F5"/>
    <w:rsid w:val="0081003B"/>
    <w:rsid w:val="00820777"/>
    <w:rsid w:val="00827856"/>
    <w:rsid w:val="00834292"/>
    <w:rsid w:val="00834E46"/>
    <w:rsid w:val="00840153"/>
    <w:rsid w:val="00862764"/>
    <w:rsid w:val="008711A6"/>
    <w:rsid w:val="00875A6C"/>
    <w:rsid w:val="00877F0C"/>
    <w:rsid w:val="008A1037"/>
    <w:rsid w:val="008A30DB"/>
    <w:rsid w:val="008A4D95"/>
    <w:rsid w:val="008B4000"/>
    <w:rsid w:val="008B4059"/>
    <w:rsid w:val="008C032A"/>
    <w:rsid w:val="008D1E20"/>
    <w:rsid w:val="008F46E1"/>
    <w:rsid w:val="0091258E"/>
    <w:rsid w:val="00915112"/>
    <w:rsid w:val="00920AA4"/>
    <w:rsid w:val="00926538"/>
    <w:rsid w:val="00932694"/>
    <w:rsid w:val="00937FCC"/>
    <w:rsid w:val="009567EC"/>
    <w:rsid w:val="009724DD"/>
    <w:rsid w:val="00974939"/>
    <w:rsid w:val="009765FF"/>
    <w:rsid w:val="00976EBC"/>
    <w:rsid w:val="00982B8E"/>
    <w:rsid w:val="00984DB1"/>
    <w:rsid w:val="00987C5C"/>
    <w:rsid w:val="0099002E"/>
    <w:rsid w:val="00997DF3"/>
    <w:rsid w:val="009A3B4E"/>
    <w:rsid w:val="009A4D70"/>
    <w:rsid w:val="009B6514"/>
    <w:rsid w:val="009B6811"/>
    <w:rsid w:val="009C1EC6"/>
    <w:rsid w:val="009C38FA"/>
    <w:rsid w:val="009C6F49"/>
    <w:rsid w:val="009D2D3D"/>
    <w:rsid w:val="00A02A81"/>
    <w:rsid w:val="00A16A7C"/>
    <w:rsid w:val="00A17EFF"/>
    <w:rsid w:val="00A25D33"/>
    <w:rsid w:val="00A25DB0"/>
    <w:rsid w:val="00A43126"/>
    <w:rsid w:val="00A64FB2"/>
    <w:rsid w:val="00A65595"/>
    <w:rsid w:val="00A65A6E"/>
    <w:rsid w:val="00A74369"/>
    <w:rsid w:val="00A7470F"/>
    <w:rsid w:val="00A75856"/>
    <w:rsid w:val="00A80992"/>
    <w:rsid w:val="00A85038"/>
    <w:rsid w:val="00AA6330"/>
    <w:rsid w:val="00AB36FB"/>
    <w:rsid w:val="00AB792C"/>
    <w:rsid w:val="00AC2570"/>
    <w:rsid w:val="00AC54D9"/>
    <w:rsid w:val="00AD0EE3"/>
    <w:rsid w:val="00B01ED5"/>
    <w:rsid w:val="00B149F8"/>
    <w:rsid w:val="00B15581"/>
    <w:rsid w:val="00B2664C"/>
    <w:rsid w:val="00B31F0D"/>
    <w:rsid w:val="00B35A13"/>
    <w:rsid w:val="00B35A1D"/>
    <w:rsid w:val="00B42040"/>
    <w:rsid w:val="00B553B7"/>
    <w:rsid w:val="00B63370"/>
    <w:rsid w:val="00B710D8"/>
    <w:rsid w:val="00B832DC"/>
    <w:rsid w:val="00B90678"/>
    <w:rsid w:val="00B91A45"/>
    <w:rsid w:val="00B92639"/>
    <w:rsid w:val="00BA0789"/>
    <w:rsid w:val="00BA75DD"/>
    <w:rsid w:val="00BB5A35"/>
    <w:rsid w:val="00BE75A7"/>
    <w:rsid w:val="00BF0614"/>
    <w:rsid w:val="00C12F21"/>
    <w:rsid w:val="00C23A41"/>
    <w:rsid w:val="00C26C29"/>
    <w:rsid w:val="00C3022A"/>
    <w:rsid w:val="00C31583"/>
    <w:rsid w:val="00C376AB"/>
    <w:rsid w:val="00C424C9"/>
    <w:rsid w:val="00C46F5D"/>
    <w:rsid w:val="00C85787"/>
    <w:rsid w:val="00C871C4"/>
    <w:rsid w:val="00CA7B36"/>
    <w:rsid w:val="00CB0ED3"/>
    <w:rsid w:val="00CC3F31"/>
    <w:rsid w:val="00CC4A26"/>
    <w:rsid w:val="00D04461"/>
    <w:rsid w:val="00D1042D"/>
    <w:rsid w:val="00D33AD7"/>
    <w:rsid w:val="00D4213C"/>
    <w:rsid w:val="00D43277"/>
    <w:rsid w:val="00D44125"/>
    <w:rsid w:val="00D52617"/>
    <w:rsid w:val="00D57478"/>
    <w:rsid w:val="00D648C3"/>
    <w:rsid w:val="00D65618"/>
    <w:rsid w:val="00D73883"/>
    <w:rsid w:val="00D81B4E"/>
    <w:rsid w:val="00D86B26"/>
    <w:rsid w:val="00D95280"/>
    <w:rsid w:val="00D97434"/>
    <w:rsid w:val="00DB12F0"/>
    <w:rsid w:val="00DB13BE"/>
    <w:rsid w:val="00DB3C3C"/>
    <w:rsid w:val="00DB6C27"/>
    <w:rsid w:val="00DC0037"/>
    <w:rsid w:val="00DD3904"/>
    <w:rsid w:val="00DD3923"/>
    <w:rsid w:val="00DD584F"/>
    <w:rsid w:val="00DE2E07"/>
    <w:rsid w:val="00DE33FA"/>
    <w:rsid w:val="00DF48A9"/>
    <w:rsid w:val="00E00B22"/>
    <w:rsid w:val="00E02A60"/>
    <w:rsid w:val="00E11A29"/>
    <w:rsid w:val="00E24362"/>
    <w:rsid w:val="00E31C78"/>
    <w:rsid w:val="00E32360"/>
    <w:rsid w:val="00E44910"/>
    <w:rsid w:val="00E616C7"/>
    <w:rsid w:val="00E622B8"/>
    <w:rsid w:val="00E63105"/>
    <w:rsid w:val="00E8574E"/>
    <w:rsid w:val="00E908C7"/>
    <w:rsid w:val="00E93231"/>
    <w:rsid w:val="00EA1517"/>
    <w:rsid w:val="00EA4AD0"/>
    <w:rsid w:val="00EA683A"/>
    <w:rsid w:val="00ED4C1A"/>
    <w:rsid w:val="00EE5910"/>
    <w:rsid w:val="00EE7275"/>
    <w:rsid w:val="00F0444A"/>
    <w:rsid w:val="00F13D31"/>
    <w:rsid w:val="00F23549"/>
    <w:rsid w:val="00F33C8A"/>
    <w:rsid w:val="00F35CA8"/>
    <w:rsid w:val="00F40707"/>
    <w:rsid w:val="00F410B5"/>
    <w:rsid w:val="00F5089F"/>
    <w:rsid w:val="00F51681"/>
    <w:rsid w:val="00F61E16"/>
    <w:rsid w:val="00F62791"/>
    <w:rsid w:val="00F6289C"/>
    <w:rsid w:val="00F82837"/>
    <w:rsid w:val="00F9010D"/>
    <w:rsid w:val="00F946CF"/>
    <w:rsid w:val="00FA6C59"/>
    <w:rsid w:val="00FB2514"/>
    <w:rsid w:val="00FC4E14"/>
    <w:rsid w:val="00FC60C8"/>
    <w:rsid w:val="00FD2F20"/>
    <w:rsid w:val="00FE4805"/>
    <w:rsid w:val="00FE4EB3"/>
    <w:rsid w:val="00FF1F0B"/>
    <w:rsid w:val="00FF6650"/>
    <w:rsid w:val="00FF7DB8"/>
    <w:rsid w:val="01140A4A"/>
    <w:rsid w:val="01192921"/>
    <w:rsid w:val="0120047D"/>
    <w:rsid w:val="012817D9"/>
    <w:rsid w:val="01317F77"/>
    <w:rsid w:val="014276B1"/>
    <w:rsid w:val="018174F1"/>
    <w:rsid w:val="018221DE"/>
    <w:rsid w:val="0195213C"/>
    <w:rsid w:val="01A6074F"/>
    <w:rsid w:val="01AA1D1B"/>
    <w:rsid w:val="01B91D0C"/>
    <w:rsid w:val="01D67006"/>
    <w:rsid w:val="02006853"/>
    <w:rsid w:val="02017C95"/>
    <w:rsid w:val="02232FC0"/>
    <w:rsid w:val="028A720C"/>
    <w:rsid w:val="029E054C"/>
    <w:rsid w:val="04463D2B"/>
    <w:rsid w:val="047C4AA8"/>
    <w:rsid w:val="04A02B18"/>
    <w:rsid w:val="04E2157A"/>
    <w:rsid w:val="04F84CDD"/>
    <w:rsid w:val="05082742"/>
    <w:rsid w:val="050C6111"/>
    <w:rsid w:val="05510A70"/>
    <w:rsid w:val="056045A0"/>
    <w:rsid w:val="05795818"/>
    <w:rsid w:val="058734FE"/>
    <w:rsid w:val="05925128"/>
    <w:rsid w:val="05D552CE"/>
    <w:rsid w:val="06287461"/>
    <w:rsid w:val="06473D8B"/>
    <w:rsid w:val="064F365D"/>
    <w:rsid w:val="065A7D67"/>
    <w:rsid w:val="06645776"/>
    <w:rsid w:val="06825176"/>
    <w:rsid w:val="06955940"/>
    <w:rsid w:val="06CC24CB"/>
    <w:rsid w:val="0702141F"/>
    <w:rsid w:val="078D3072"/>
    <w:rsid w:val="07A616EC"/>
    <w:rsid w:val="08055599"/>
    <w:rsid w:val="08137870"/>
    <w:rsid w:val="0819344D"/>
    <w:rsid w:val="082734E6"/>
    <w:rsid w:val="086557B5"/>
    <w:rsid w:val="088570E4"/>
    <w:rsid w:val="08E847B1"/>
    <w:rsid w:val="08E9460B"/>
    <w:rsid w:val="092422B4"/>
    <w:rsid w:val="09260706"/>
    <w:rsid w:val="095429DE"/>
    <w:rsid w:val="09546225"/>
    <w:rsid w:val="097A4477"/>
    <w:rsid w:val="09854FE7"/>
    <w:rsid w:val="09947CBA"/>
    <w:rsid w:val="09976DD7"/>
    <w:rsid w:val="099D7A0D"/>
    <w:rsid w:val="09F0578B"/>
    <w:rsid w:val="0A4B7E0E"/>
    <w:rsid w:val="0A7102A7"/>
    <w:rsid w:val="0A781068"/>
    <w:rsid w:val="0A88562A"/>
    <w:rsid w:val="0A914554"/>
    <w:rsid w:val="0ACE06BB"/>
    <w:rsid w:val="0AD73193"/>
    <w:rsid w:val="0AFA761E"/>
    <w:rsid w:val="0B3133C1"/>
    <w:rsid w:val="0B380146"/>
    <w:rsid w:val="0B440824"/>
    <w:rsid w:val="0B7015F3"/>
    <w:rsid w:val="0B7F4F8E"/>
    <w:rsid w:val="0BD55995"/>
    <w:rsid w:val="0C0A0A79"/>
    <w:rsid w:val="0C0C18D2"/>
    <w:rsid w:val="0C1F2A4D"/>
    <w:rsid w:val="0C235F6C"/>
    <w:rsid w:val="0C5E0F4A"/>
    <w:rsid w:val="0D2C0C18"/>
    <w:rsid w:val="0D371522"/>
    <w:rsid w:val="0D76274C"/>
    <w:rsid w:val="0D8B2651"/>
    <w:rsid w:val="0DDE0D0C"/>
    <w:rsid w:val="0E0A3286"/>
    <w:rsid w:val="0E300D3A"/>
    <w:rsid w:val="0E714263"/>
    <w:rsid w:val="0E8A0ED8"/>
    <w:rsid w:val="0ECD6ED7"/>
    <w:rsid w:val="0EDB52EC"/>
    <w:rsid w:val="0EFC4F2E"/>
    <w:rsid w:val="0F073822"/>
    <w:rsid w:val="0F0F3D8D"/>
    <w:rsid w:val="0F1F76D0"/>
    <w:rsid w:val="0F263522"/>
    <w:rsid w:val="0F7C5968"/>
    <w:rsid w:val="0F9C0FF4"/>
    <w:rsid w:val="0F9D7170"/>
    <w:rsid w:val="0FE11F47"/>
    <w:rsid w:val="0FE70409"/>
    <w:rsid w:val="0FEA1F26"/>
    <w:rsid w:val="10250DBB"/>
    <w:rsid w:val="103E032B"/>
    <w:rsid w:val="10552637"/>
    <w:rsid w:val="10821871"/>
    <w:rsid w:val="10A6199B"/>
    <w:rsid w:val="10C74A23"/>
    <w:rsid w:val="10CC1DBF"/>
    <w:rsid w:val="11211A6D"/>
    <w:rsid w:val="11386251"/>
    <w:rsid w:val="114802A7"/>
    <w:rsid w:val="115D2A58"/>
    <w:rsid w:val="11CC15E8"/>
    <w:rsid w:val="11DF34F2"/>
    <w:rsid w:val="11FC2705"/>
    <w:rsid w:val="123B50DB"/>
    <w:rsid w:val="12990412"/>
    <w:rsid w:val="129E349B"/>
    <w:rsid w:val="12B14964"/>
    <w:rsid w:val="12E81879"/>
    <w:rsid w:val="13707209"/>
    <w:rsid w:val="137075B2"/>
    <w:rsid w:val="137A28D3"/>
    <w:rsid w:val="13A97988"/>
    <w:rsid w:val="13AD43A7"/>
    <w:rsid w:val="13C53EBD"/>
    <w:rsid w:val="13C56C9E"/>
    <w:rsid w:val="140415EB"/>
    <w:rsid w:val="141A6516"/>
    <w:rsid w:val="143323BA"/>
    <w:rsid w:val="145D4809"/>
    <w:rsid w:val="14A16CA5"/>
    <w:rsid w:val="14B20982"/>
    <w:rsid w:val="14C85EC8"/>
    <w:rsid w:val="15165114"/>
    <w:rsid w:val="15432BEE"/>
    <w:rsid w:val="154379A5"/>
    <w:rsid w:val="15724254"/>
    <w:rsid w:val="15A22D8C"/>
    <w:rsid w:val="160867F1"/>
    <w:rsid w:val="164769AC"/>
    <w:rsid w:val="165E2B67"/>
    <w:rsid w:val="16A44B2E"/>
    <w:rsid w:val="16FC2ED2"/>
    <w:rsid w:val="17043123"/>
    <w:rsid w:val="17115E74"/>
    <w:rsid w:val="17130E26"/>
    <w:rsid w:val="178F39B4"/>
    <w:rsid w:val="17AF1790"/>
    <w:rsid w:val="17C12B58"/>
    <w:rsid w:val="17C253C5"/>
    <w:rsid w:val="17C50FDF"/>
    <w:rsid w:val="17D72154"/>
    <w:rsid w:val="17E458DD"/>
    <w:rsid w:val="17EB568A"/>
    <w:rsid w:val="17FC4C18"/>
    <w:rsid w:val="17FD796F"/>
    <w:rsid w:val="180D015B"/>
    <w:rsid w:val="18265BD0"/>
    <w:rsid w:val="184C3483"/>
    <w:rsid w:val="18EE53F2"/>
    <w:rsid w:val="191A1F84"/>
    <w:rsid w:val="195B1BCF"/>
    <w:rsid w:val="19D835AD"/>
    <w:rsid w:val="19FD6315"/>
    <w:rsid w:val="1A071DF5"/>
    <w:rsid w:val="1A205FEB"/>
    <w:rsid w:val="1A5B3353"/>
    <w:rsid w:val="1A5B7106"/>
    <w:rsid w:val="1A6F016E"/>
    <w:rsid w:val="1A953B37"/>
    <w:rsid w:val="1AB766AF"/>
    <w:rsid w:val="1ABA1161"/>
    <w:rsid w:val="1AD34E18"/>
    <w:rsid w:val="1B4C4DCA"/>
    <w:rsid w:val="1C041E2B"/>
    <w:rsid w:val="1C1C4F1A"/>
    <w:rsid w:val="1C361ABC"/>
    <w:rsid w:val="1C3703E0"/>
    <w:rsid w:val="1CC65580"/>
    <w:rsid w:val="1CDB6B83"/>
    <w:rsid w:val="1CFB6C8F"/>
    <w:rsid w:val="1D012A8E"/>
    <w:rsid w:val="1D1E653A"/>
    <w:rsid w:val="1D3A7D4E"/>
    <w:rsid w:val="1D8A5637"/>
    <w:rsid w:val="1DA7248F"/>
    <w:rsid w:val="1DDA1907"/>
    <w:rsid w:val="1E0A5972"/>
    <w:rsid w:val="1E3824DF"/>
    <w:rsid w:val="1E4C4BC4"/>
    <w:rsid w:val="1E5135A1"/>
    <w:rsid w:val="1EEB2E12"/>
    <w:rsid w:val="1FA50B80"/>
    <w:rsid w:val="1FE50445"/>
    <w:rsid w:val="201C1CF0"/>
    <w:rsid w:val="204A28EE"/>
    <w:rsid w:val="205343E8"/>
    <w:rsid w:val="208474B9"/>
    <w:rsid w:val="20852B22"/>
    <w:rsid w:val="20887022"/>
    <w:rsid w:val="209E5E4C"/>
    <w:rsid w:val="20A73AD2"/>
    <w:rsid w:val="20D017CD"/>
    <w:rsid w:val="21204134"/>
    <w:rsid w:val="21314BB6"/>
    <w:rsid w:val="213B3D5A"/>
    <w:rsid w:val="21400E91"/>
    <w:rsid w:val="215C2065"/>
    <w:rsid w:val="2173690A"/>
    <w:rsid w:val="2178792D"/>
    <w:rsid w:val="21882D76"/>
    <w:rsid w:val="21A7293F"/>
    <w:rsid w:val="21E760D9"/>
    <w:rsid w:val="2202480B"/>
    <w:rsid w:val="22432D68"/>
    <w:rsid w:val="22AB33C9"/>
    <w:rsid w:val="22C87E24"/>
    <w:rsid w:val="22FA541B"/>
    <w:rsid w:val="23071AD3"/>
    <w:rsid w:val="2314746A"/>
    <w:rsid w:val="23721A8C"/>
    <w:rsid w:val="23A042C9"/>
    <w:rsid w:val="23AF5E5D"/>
    <w:rsid w:val="23DD3304"/>
    <w:rsid w:val="23EF26C8"/>
    <w:rsid w:val="23FA0986"/>
    <w:rsid w:val="23FB0F6A"/>
    <w:rsid w:val="23FE38C9"/>
    <w:rsid w:val="241D15C7"/>
    <w:rsid w:val="246F367A"/>
    <w:rsid w:val="24880436"/>
    <w:rsid w:val="24DB1E16"/>
    <w:rsid w:val="2502184D"/>
    <w:rsid w:val="2506568E"/>
    <w:rsid w:val="251610A0"/>
    <w:rsid w:val="25493224"/>
    <w:rsid w:val="25695889"/>
    <w:rsid w:val="257446D3"/>
    <w:rsid w:val="257B651B"/>
    <w:rsid w:val="258129BE"/>
    <w:rsid w:val="25E3191A"/>
    <w:rsid w:val="262B2929"/>
    <w:rsid w:val="262D48F3"/>
    <w:rsid w:val="272A36B9"/>
    <w:rsid w:val="27574CC5"/>
    <w:rsid w:val="27A45BFA"/>
    <w:rsid w:val="27AC6324"/>
    <w:rsid w:val="27FF56F9"/>
    <w:rsid w:val="28C613E8"/>
    <w:rsid w:val="29476EEE"/>
    <w:rsid w:val="29477193"/>
    <w:rsid w:val="298E65D5"/>
    <w:rsid w:val="29B175E9"/>
    <w:rsid w:val="29E737F5"/>
    <w:rsid w:val="2A6A5DE8"/>
    <w:rsid w:val="2A80338B"/>
    <w:rsid w:val="2A8709AD"/>
    <w:rsid w:val="2AA86103"/>
    <w:rsid w:val="2AF16AE6"/>
    <w:rsid w:val="2B4E6E2C"/>
    <w:rsid w:val="2B842ACD"/>
    <w:rsid w:val="2B9E618D"/>
    <w:rsid w:val="2BB43662"/>
    <w:rsid w:val="2BB823B5"/>
    <w:rsid w:val="2BBF414B"/>
    <w:rsid w:val="2BF27BA0"/>
    <w:rsid w:val="2BF86E47"/>
    <w:rsid w:val="2C275374"/>
    <w:rsid w:val="2C2F13D3"/>
    <w:rsid w:val="2C697C33"/>
    <w:rsid w:val="2C8E49C2"/>
    <w:rsid w:val="2CDC6F21"/>
    <w:rsid w:val="2D4C6208"/>
    <w:rsid w:val="2D68163C"/>
    <w:rsid w:val="2D8D3469"/>
    <w:rsid w:val="2DBE6044"/>
    <w:rsid w:val="2DDD0745"/>
    <w:rsid w:val="2DDD5C8A"/>
    <w:rsid w:val="2E0D2A8F"/>
    <w:rsid w:val="2E384D2A"/>
    <w:rsid w:val="2E6A7D67"/>
    <w:rsid w:val="2E922B20"/>
    <w:rsid w:val="2F6864E5"/>
    <w:rsid w:val="2F6F5E29"/>
    <w:rsid w:val="2F711BCF"/>
    <w:rsid w:val="2F776FDA"/>
    <w:rsid w:val="2F7B66D0"/>
    <w:rsid w:val="2FBE65BC"/>
    <w:rsid w:val="2FD81DA6"/>
    <w:rsid w:val="303C7ACB"/>
    <w:rsid w:val="304B5F67"/>
    <w:rsid w:val="308B78C4"/>
    <w:rsid w:val="309317F7"/>
    <w:rsid w:val="30B72B60"/>
    <w:rsid w:val="30E52CCF"/>
    <w:rsid w:val="30F03A74"/>
    <w:rsid w:val="30F611F7"/>
    <w:rsid w:val="3115045E"/>
    <w:rsid w:val="3127206C"/>
    <w:rsid w:val="31774C75"/>
    <w:rsid w:val="31935E20"/>
    <w:rsid w:val="319E355C"/>
    <w:rsid w:val="31AA329C"/>
    <w:rsid w:val="31B132CD"/>
    <w:rsid w:val="31B239E7"/>
    <w:rsid w:val="31CD131B"/>
    <w:rsid w:val="31E2191F"/>
    <w:rsid w:val="320B4D7A"/>
    <w:rsid w:val="323C55FF"/>
    <w:rsid w:val="325E6770"/>
    <w:rsid w:val="32CA5E04"/>
    <w:rsid w:val="331734FE"/>
    <w:rsid w:val="336563D5"/>
    <w:rsid w:val="33977850"/>
    <w:rsid w:val="33BA4F73"/>
    <w:rsid w:val="33FA164D"/>
    <w:rsid w:val="3435472F"/>
    <w:rsid w:val="3440223B"/>
    <w:rsid w:val="344B7329"/>
    <w:rsid w:val="349F69BC"/>
    <w:rsid w:val="34BF0E0C"/>
    <w:rsid w:val="34CD495A"/>
    <w:rsid w:val="34E46AC5"/>
    <w:rsid w:val="35397363"/>
    <w:rsid w:val="354E03E2"/>
    <w:rsid w:val="35661651"/>
    <w:rsid w:val="35C022F9"/>
    <w:rsid w:val="363E4677"/>
    <w:rsid w:val="364610BA"/>
    <w:rsid w:val="36BB6818"/>
    <w:rsid w:val="36EB16F5"/>
    <w:rsid w:val="36EF7DD3"/>
    <w:rsid w:val="36FF7D62"/>
    <w:rsid w:val="371017C1"/>
    <w:rsid w:val="372D5A13"/>
    <w:rsid w:val="377D459F"/>
    <w:rsid w:val="37813FA2"/>
    <w:rsid w:val="37C4673A"/>
    <w:rsid w:val="37CC3856"/>
    <w:rsid w:val="38A67E7F"/>
    <w:rsid w:val="38E24814"/>
    <w:rsid w:val="391A088C"/>
    <w:rsid w:val="39502610"/>
    <w:rsid w:val="396C0E37"/>
    <w:rsid w:val="39754F24"/>
    <w:rsid w:val="39CE0147"/>
    <w:rsid w:val="39D2763C"/>
    <w:rsid w:val="39D30EB6"/>
    <w:rsid w:val="39DB7F7D"/>
    <w:rsid w:val="3A11636E"/>
    <w:rsid w:val="3A1E5D66"/>
    <w:rsid w:val="3A465B2C"/>
    <w:rsid w:val="3A4B519A"/>
    <w:rsid w:val="3A9455F2"/>
    <w:rsid w:val="3A957A8A"/>
    <w:rsid w:val="3AAA3FA7"/>
    <w:rsid w:val="3AD234AE"/>
    <w:rsid w:val="3B1923EE"/>
    <w:rsid w:val="3B4F0967"/>
    <w:rsid w:val="3B7314FC"/>
    <w:rsid w:val="3B936C5D"/>
    <w:rsid w:val="3BA04D68"/>
    <w:rsid w:val="3BB3159F"/>
    <w:rsid w:val="3BBA46A8"/>
    <w:rsid w:val="3BD60121"/>
    <w:rsid w:val="3BE43DF2"/>
    <w:rsid w:val="3BF75330"/>
    <w:rsid w:val="3C0323B0"/>
    <w:rsid w:val="3C1F03D0"/>
    <w:rsid w:val="3C814F13"/>
    <w:rsid w:val="3CB22F20"/>
    <w:rsid w:val="3CB427F5"/>
    <w:rsid w:val="3CEB2A7E"/>
    <w:rsid w:val="3D315F14"/>
    <w:rsid w:val="3D4E71D1"/>
    <w:rsid w:val="3D5A3DC8"/>
    <w:rsid w:val="3DA3470B"/>
    <w:rsid w:val="3DC1785A"/>
    <w:rsid w:val="3DF029F0"/>
    <w:rsid w:val="3E18216E"/>
    <w:rsid w:val="3E65013F"/>
    <w:rsid w:val="3E794F37"/>
    <w:rsid w:val="3E8D1F7B"/>
    <w:rsid w:val="3E8D7FAC"/>
    <w:rsid w:val="3E9D4B61"/>
    <w:rsid w:val="3EAA332F"/>
    <w:rsid w:val="3F4E6449"/>
    <w:rsid w:val="3F5E32FA"/>
    <w:rsid w:val="3F9A371F"/>
    <w:rsid w:val="3FF35B5D"/>
    <w:rsid w:val="400B3CFA"/>
    <w:rsid w:val="400E6C2F"/>
    <w:rsid w:val="405F451F"/>
    <w:rsid w:val="408D4D2E"/>
    <w:rsid w:val="410B54F1"/>
    <w:rsid w:val="41235969"/>
    <w:rsid w:val="414C394B"/>
    <w:rsid w:val="41596324"/>
    <w:rsid w:val="416D454C"/>
    <w:rsid w:val="417E0DD4"/>
    <w:rsid w:val="41AE29E7"/>
    <w:rsid w:val="41BE4262"/>
    <w:rsid w:val="42220C19"/>
    <w:rsid w:val="422624CB"/>
    <w:rsid w:val="423D5A66"/>
    <w:rsid w:val="42744C1D"/>
    <w:rsid w:val="42812D02"/>
    <w:rsid w:val="42A15FF5"/>
    <w:rsid w:val="42A50744"/>
    <w:rsid w:val="432A4F1F"/>
    <w:rsid w:val="435161F1"/>
    <w:rsid w:val="436808C1"/>
    <w:rsid w:val="437309A1"/>
    <w:rsid w:val="437C52E9"/>
    <w:rsid w:val="438B45CD"/>
    <w:rsid w:val="43A37B4B"/>
    <w:rsid w:val="43C03588"/>
    <w:rsid w:val="44027883"/>
    <w:rsid w:val="44257266"/>
    <w:rsid w:val="445B1BCA"/>
    <w:rsid w:val="445F3A72"/>
    <w:rsid w:val="446409B5"/>
    <w:rsid w:val="44A634AB"/>
    <w:rsid w:val="44AE0556"/>
    <w:rsid w:val="44AE67A8"/>
    <w:rsid w:val="44D25FA0"/>
    <w:rsid w:val="44DA57EF"/>
    <w:rsid w:val="4585635F"/>
    <w:rsid w:val="459471F1"/>
    <w:rsid w:val="460E1EF2"/>
    <w:rsid w:val="4669300D"/>
    <w:rsid w:val="4681524B"/>
    <w:rsid w:val="468E773A"/>
    <w:rsid w:val="46B94A56"/>
    <w:rsid w:val="46C35710"/>
    <w:rsid w:val="474F3279"/>
    <w:rsid w:val="47915563"/>
    <w:rsid w:val="4809596F"/>
    <w:rsid w:val="48376AB4"/>
    <w:rsid w:val="488E4B80"/>
    <w:rsid w:val="488F2F8B"/>
    <w:rsid w:val="48A6071F"/>
    <w:rsid w:val="48EE5022"/>
    <w:rsid w:val="490D247B"/>
    <w:rsid w:val="490F544C"/>
    <w:rsid w:val="49220893"/>
    <w:rsid w:val="493C0699"/>
    <w:rsid w:val="496A7EF0"/>
    <w:rsid w:val="496D05B7"/>
    <w:rsid w:val="499A7B71"/>
    <w:rsid w:val="49BC7386"/>
    <w:rsid w:val="49D219AC"/>
    <w:rsid w:val="49DF19D1"/>
    <w:rsid w:val="4A0A7E7E"/>
    <w:rsid w:val="4A110963"/>
    <w:rsid w:val="4A262C03"/>
    <w:rsid w:val="4A5D70EB"/>
    <w:rsid w:val="4A677C69"/>
    <w:rsid w:val="4A713688"/>
    <w:rsid w:val="4AB045A7"/>
    <w:rsid w:val="4AC34F6C"/>
    <w:rsid w:val="4AE50FB9"/>
    <w:rsid w:val="4AF155C9"/>
    <w:rsid w:val="4B110071"/>
    <w:rsid w:val="4B553C62"/>
    <w:rsid w:val="4B6B5E13"/>
    <w:rsid w:val="4B736055"/>
    <w:rsid w:val="4BE913F0"/>
    <w:rsid w:val="4C104E39"/>
    <w:rsid w:val="4C28432A"/>
    <w:rsid w:val="4C365097"/>
    <w:rsid w:val="4C41382B"/>
    <w:rsid w:val="4C4232FC"/>
    <w:rsid w:val="4C5174C5"/>
    <w:rsid w:val="4D807369"/>
    <w:rsid w:val="4D9D1222"/>
    <w:rsid w:val="4DBC5644"/>
    <w:rsid w:val="4DDA2114"/>
    <w:rsid w:val="4E035F99"/>
    <w:rsid w:val="4E0E0257"/>
    <w:rsid w:val="4E197388"/>
    <w:rsid w:val="4E1F73CC"/>
    <w:rsid w:val="4E377B16"/>
    <w:rsid w:val="4E4F0871"/>
    <w:rsid w:val="4E85590A"/>
    <w:rsid w:val="4E865EA8"/>
    <w:rsid w:val="4EA34677"/>
    <w:rsid w:val="4EAD2C02"/>
    <w:rsid w:val="4EB317FD"/>
    <w:rsid w:val="4EC2427D"/>
    <w:rsid w:val="4F0A540A"/>
    <w:rsid w:val="4F267100"/>
    <w:rsid w:val="4F273FFF"/>
    <w:rsid w:val="4F2D347D"/>
    <w:rsid w:val="4F44293C"/>
    <w:rsid w:val="4F64513A"/>
    <w:rsid w:val="4F8053A7"/>
    <w:rsid w:val="507975E6"/>
    <w:rsid w:val="50A53155"/>
    <w:rsid w:val="50B13D07"/>
    <w:rsid w:val="50BD6861"/>
    <w:rsid w:val="50CF47A9"/>
    <w:rsid w:val="50DC7E11"/>
    <w:rsid w:val="511B4E1E"/>
    <w:rsid w:val="51294459"/>
    <w:rsid w:val="51B30D8C"/>
    <w:rsid w:val="51C8011A"/>
    <w:rsid w:val="51F24178"/>
    <w:rsid w:val="520D4C4F"/>
    <w:rsid w:val="529C0525"/>
    <w:rsid w:val="52A00FEB"/>
    <w:rsid w:val="52AF1A71"/>
    <w:rsid w:val="52DB4C79"/>
    <w:rsid w:val="5301336A"/>
    <w:rsid w:val="530F0D59"/>
    <w:rsid w:val="531D3C87"/>
    <w:rsid w:val="53395DD6"/>
    <w:rsid w:val="53511238"/>
    <w:rsid w:val="53A75E29"/>
    <w:rsid w:val="53CB63BE"/>
    <w:rsid w:val="53D0673A"/>
    <w:rsid w:val="53F420B3"/>
    <w:rsid w:val="54002F60"/>
    <w:rsid w:val="540E00C3"/>
    <w:rsid w:val="542D6B25"/>
    <w:rsid w:val="54615C1F"/>
    <w:rsid w:val="54CC5929"/>
    <w:rsid w:val="54CD11BC"/>
    <w:rsid w:val="54D66B86"/>
    <w:rsid w:val="54F05EA5"/>
    <w:rsid w:val="54F91B6A"/>
    <w:rsid w:val="550E087B"/>
    <w:rsid w:val="55615595"/>
    <w:rsid w:val="55623E6D"/>
    <w:rsid w:val="556971D5"/>
    <w:rsid w:val="558D29EF"/>
    <w:rsid w:val="55F0001F"/>
    <w:rsid w:val="56C76FFA"/>
    <w:rsid w:val="57583870"/>
    <w:rsid w:val="57951E20"/>
    <w:rsid w:val="57A06A84"/>
    <w:rsid w:val="57D3417C"/>
    <w:rsid w:val="57ED2829"/>
    <w:rsid w:val="57FD68C9"/>
    <w:rsid w:val="58062017"/>
    <w:rsid w:val="587D2383"/>
    <w:rsid w:val="58CD0BD9"/>
    <w:rsid w:val="59612E96"/>
    <w:rsid w:val="597A6EDE"/>
    <w:rsid w:val="597F22BF"/>
    <w:rsid w:val="5A1F4052"/>
    <w:rsid w:val="5A260312"/>
    <w:rsid w:val="5A3A2B60"/>
    <w:rsid w:val="5A41520F"/>
    <w:rsid w:val="5A6C2A96"/>
    <w:rsid w:val="5A8D5687"/>
    <w:rsid w:val="5B4662AC"/>
    <w:rsid w:val="5B81187D"/>
    <w:rsid w:val="5B955468"/>
    <w:rsid w:val="5BBD30C7"/>
    <w:rsid w:val="5BC25E03"/>
    <w:rsid w:val="5BCE7A03"/>
    <w:rsid w:val="5C0C3C0F"/>
    <w:rsid w:val="5C1109FB"/>
    <w:rsid w:val="5C2335BC"/>
    <w:rsid w:val="5C3D071C"/>
    <w:rsid w:val="5C5A47D2"/>
    <w:rsid w:val="5C651B97"/>
    <w:rsid w:val="5C961BA3"/>
    <w:rsid w:val="5C9C2F4D"/>
    <w:rsid w:val="5CAB38A1"/>
    <w:rsid w:val="5CC76003"/>
    <w:rsid w:val="5CF65A05"/>
    <w:rsid w:val="5D0B7C5E"/>
    <w:rsid w:val="5D13452A"/>
    <w:rsid w:val="5D1B192E"/>
    <w:rsid w:val="5D275055"/>
    <w:rsid w:val="5D6B6CE6"/>
    <w:rsid w:val="5D8F70B4"/>
    <w:rsid w:val="5DFD3CAB"/>
    <w:rsid w:val="5E45585B"/>
    <w:rsid w:val="5E521E77"/>
    <w:rsid w:val="5E7E6F5D"/>
    <w:rsid w:val="5EB42977"/>
    <w:rsid w:val="5F09749A"/>
    <w:rsid w:val="5FEF5405"/>
    <w:rsid w:val="6010572F"/>
    <w:rsid w:val="601E3881"/>
    <w:rsid w:val="60511C52"/>
    <w:rsid w:val="6056124C"/>
    <w:rsid w:val="606261EE"/>
    <w:rsid w:val="607D5554"/>
    <w:rsid w:val="60A2410D"/>
    <w:rsid w:val="60CE075D"/>
    <w:rsid w:val="60DE06DC"/>
    <w:rsid w:val="613560F2"/>
    <w:rsid w:val="6137300F"/>
    <w:rsid w:val="61465E92"/>
    <w:rsid w:val="615D5386"/>
    <w:rsid w:val="61E4137A"/>
    <w:rsid w:val="62262C4E"/>
    <w:rsid w:val="62582768"/>
    <w:rsid w:val="625D71FF"/>
    <w:rsid w:val="6288046D"/>
    <w:rsid w:val="62B40825"/>
    <w:rsid w:val="62BE2C0A"/>
    <w:rsid w:val="62D04226"/>
    <w:rsid w:val="62FC6387"/>
    <w:rsid w:val="631D73A2"/>
    <w:rsid w:val="635243D9"/>
    <w:rsid w:val="6361039A"/>
    <w:rsid w:val="637A221F"/>
    <w:rsid w:val="63C1118E"/>
    <w:rsid w:val="63C94F54"/>
    <w:rsid w:val="64005A77"/>
    <w:rsid w:val="646F4B68"/>
    <w:rsid w:val="64D12312"/>
    <w:rsid w:val="64DF38A4"/>
    <w:rsid w:val="64ED4C6E"/>
    <w:rsid w:val="64F04CB5"/>
    <w:rsid w:val="65AB285B"/>
    <w:rsid w:val="65AD7EBD"/>
    <w:rsid w:val="65B45F4F"/>
    <w:rsid w:val="65D442F6"/>
    <w:rsid w:val="65EE1B68"/>
    <w:rsid w:val="66011D5A"/>
    <w:rsid w:val="664A47B6"/>
    <w:rsid w:val="665364A6"/>
    <w:rsid w:val="669A4C09"/>
    <w:rsid w:val="66D67A5D"/>
    <w:rsid w:val="66EE6546"/>
    <w:rsid w:val="67023999"/>
    <w:rsid w:val="67074E48"/>
    <w:rsid w:val="67246F89"/>
    <w:rsid w:val="67630127"/>
    <w:rsid w:val="67837630"/>
    <w:rsid w:val="68137467"/>
    <w:rsid w:val="681D761D"/>
    <w:rsid w:val="683D3BEC"/>
    <w:rsid w:val="68417139"/>
    <w:rsid w:val="684347AC"/>
    <w:rsid w:val="68592CC5"/>
    <w:rsid w:val="68BF275E"/>
    <w:rsid w:val="68CF1C96"/>
    <w:rsid w:val="68D16C5B"/>
    <w:rsid w:val="69005F6E"/>
    <w:rsid w:val="690B55D0"/>
    <w:rsid w:val="6912771D"/>
    <w:rsid w:val="694C233B"/>
    <w:rsid w:val="696F2B99"/>
    <w:rsid w:val="69C05375"/>
    <w:rsid w:val="69E72C2E"/>
    <w:rsid w:val="69F97556"/>
    <w:rsid w:val="6A050965"/>
    <w:rsid w:val="6AB22668"/>
    <w:rsid w:val="6ACF10A2"/>
    <w:rsid w:val="6AD5171F"/>
    <w:rsid w:val="6ADB4BCA"/>
    <w:rsid w:val="6AF03773"/>
    <w:rsid w:val="6B37579E"/>
    <w:rsid w:val="6B507ABD"/>
    <w:rsid w:val="6B7A75A6"/>
    <w:rsid w:val="6B807EDB"/>
    <w:rsid w:val="6B885778"/>
    <w:rsid w:val="6C251B2E"/>
    <w:rsid w:val="6C4C599C"/>
    <w:rsid w:val="6C537F7C"/>
    <w:rsid w:val="6C944B4E"/>
    <w:rsid w:val="6CDB5C24"/>
    <w:rsid w:val="6D636E9A"/>
    <w:rsid w:val="6D905441"/>
    <w:rsid w:val="6D9C5F71"/>
    <w:rsid w:val="6DB410CA"/>
    <w:rsid w:val="6E0A7C79"/>
    <w:rsid w:val="6E3E0403"/>
    <w:rsid w:val="6E5C6500"/>
    <w:rsid w:val="6E9C7E46"/>
    <w:rsid w:val="6EC007DF"/>
    <w:rsid w:val="6EC32DCC"/>
    <w:rsid w:val="6EC51B8E"/>
    <w:rsid w:val="6EDF5A1A"/>
    <w:rsid w:val="6EFC51DB"/>
    <w:rsid w:val="6F130889"/>
    <w:rsid w:val="6F5E77BF"/>
    <w:rsid w:val="6F6440C4"/>
    <w:rsid w:val="6FAF26AF"/>
    <w:rsid w:val="70053003"/>
    <w:rsid w:val="704C66AA"/>
    <w:rsid w:val="708729D7"/>
    <w:rsid w:val="709617AD"/>
    <w:rsid w:val="70BE5F94"/>
    <w:rsid w:val="70CC2689"/>
    <w:rsid w:val="70F107FF"/>
    <w:rsid w:val="70FB0F90"/>
    <w:rsid w:val="71172E55"/>
    <w:rsid w:val="712935EA"/>
    <w:rsid w:val="713356A1"/>
    <w:rsid w:val="714E0A4B"/>
    <w:rsid w:val="71505E4E"/>
    <w:rsid w:val="71645162"/>
    <w:rsid w:val="716E0ED3"/>
    <w:rsid w:val="718B0AFA"/>
    <w:rsid w:val="71C305DB"/>
    <w:rsid w:val="71EF2B1A"/>
    <w:rsid w:val="72661B00"/>
    <w:rsid w:val="726F53D4"/>
    <w:rsid w:val="72981D32"/>
    <w:rsid w:val="72A91502"/>
    <w:rsid w:val="73357E06"/>
    <w:rsid w:val="73576C48"/>
    <w:rsid w:val="73733C9A"/>
    <w:rsid w:val="73CB4EA8"/>
    <w:rsid w:val="74712CFA"/>
    <w:rsid w:val="75107D5E"/>
    <w:rsid w:val="75462D95"/>
    <w:rsid w:val="755964A7"/>
    <w:rsid w:val="7574407E"/>
    <w:rsid w:val="758201EB"/>
    <w:rsid w:val="75B9149C"/>
    <w:rsid w:val="75DE2E3E"/>
    <w:rsid w:val="75EA1F1A"/>
    <w:rsid w:val="760B3388"/>
    <w:rsid w:val="76375D4D"/>
    <w:rsid w:val="763C56C5"/>
    <w:rsid w:val="76411810"/>
    <w:rsid w:val="7646282E"/>
    <w:rsid w:val="764C6CFE"/>
    <w:rsid w:val="76A41635"/>
    <w:rsid w:val="76E96D4D"/>
    <w:rsid w:val="76FC583F"/>
    <w:rsid w:val="771D79BC"/>
    <w:rsid w:val="77373EC1"/>
    <w:rsid w:val="776C01B3"/>
    <w:rsid w:val="77C030C2"/>
    <w:rsid w:val="77C655DB"/>
    <w:rsid w:val="77EC59C1"/>
    <w:rsid w:val="780F2B27"/>
    <w:rsid w:val="781E7E5B"/>
    <w:rsid w:val="7840538D"/>
    <w:rsid w:val="785B21C7"/>
    <w:rsid w:val="78660E94"/>
    <w:rsid w:val="78872C77"/>
    <w:rsid w:val="78B64E2C"/>
    <w:rsid w:val="78DF01E6"/>
    <w:rsid w:val="794A64F9"/>
    <w:rsid w:val="79646E59"/>
    <w:rsid w:val="798A1E03"/>
    <w:rsid w:val="798C6377"/>
    <w:rsid w:val="7A0C7AA0"/>
    <w:rsid w:val="7B09016E"/>
    <w:rsid w:val="7B130BB3"/>
    <w:rsid w:val="7B3F2658"/>
    <w:rsid w:val="7B6475E5"/>
    <w:rsid w:val="7BD21935"/>
    <w:rsid w:val="7BE511C7"/>
    <w:rsid w:val="7C7E1243"/>
    <w:rsid w:val="7CC359DE"/>
    <w:rsid w:val="7D01586C"/>
    <w:rsid w:val="7D110015"/>
    <w:rsid w:val="7D3134F6"/>
    <w:rsid w:val="7D4C5893"/>
    <w:rsid w:val="7D715615"/>
    <w:rsid w:val="7D723327"/>
    <w:rsid w:val="7D9542D8"/>
    <w:rsid w:val="7D9F519D"/>
    <w:rsid w:val="7DB137DA"/>
    <w:rsid w:val="7DD86068"/>
    <w:rsid w:val="7DDA0FB8"/>
    <w:rsid w:val="7DDC06F6"/>
    <w:rsid w:val="7E04340E"/>
    <w:rsid w:val="7E6C36AE"/>
    <w:rsid w:val="7E8F5DAF"/>
    <w:rsid w:val="7F1F43B1"/>
    <w:rsid w:val="7F7F176B"/>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topLinePunct/>
      <w:ind w:left="360"/>
      <w:outlineLvl w:val="0"/>
    </w:pPr>
    <w:rPr>
      <w:sz w:val="28"/>
    </w:rPr>
  </w:style>
  <w:style w:type="paragraph" w:styleId="3">
    <w:name w:val="heading 2"/>
    <w:basedOn w:val="1"/>
    <w:next w:val="1"/>
    <w:link w:val="6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5"/>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7"/>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9"/>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0"/>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next w:val="17"/>
    <w:link w:val="58"/>
    <w:qFormat/>
    <w:uiPriority w:val="0"/>
    <w:pPr>
      <w:adjustRightInd w:val="0"/>
      <w:spacing w:line="312" w:lineRule="atLeast"/>
      <w:ind w:firstLine="420"/>
      <w:textAlignment w:val="baseline"/>
    </w:pPr>
    <w:rPr>
      <w:rFonts w:ascii="@楷体" w:hAnsi="Symbol" w:eastAsia="楷体"/>
      <w:kern w:val="28"/>
      <w:sz w:val="15"/>
    </w:rPr>
  </w:style>
  <w:style w:type="paragraph" w:customStyle="1" w:styleId="17">
    <w:name w:val="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styleId="18">
    <w:name w:val="Document Map"/>
    <w:basedOn w:val="1"/>
    <w:link w:val="74"/>
    <w:qFormat/>
    <w:uiPriority w:val="0"/>
    <w:rPr>
      <w:rFonts w:ascii="宋体"/>
      <w:sz w:val="18"/>
      <w:szCs w:val="18"/>
    </w:rPr>
  </w:style>
  <w:style w:type="paragraph" w:styleId="19">
    <w:name w:val="annotation text"/>
    <w:basedOn w:val="1"/>
    <w:link w:val="75"/>
    <w:semiHidden/>
    <w:qFormat/>
    <w:uiPriority w:val="0"/>
    <w:pPr>
      <w:jc w:val="left"/>
    </w:p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61"/>
    <w:qFormat/>
    <w:uiPriority w:val="0"/>
    <w:rPr>
      <w:rFonts w:ascii="宋体" w:hAnsi="宋体"/>
      <w:color w:val="0000FF"/>
      <w:sz w:val="24"/>
      <w:szCs w:val="24"/>
    </w:rPr>
  </w:style>
  <w:style w:type="paragraph" w:styleId="22">
    <w:name w:val="Body Text Indent"/>
    <w:basedOn w:val="1"/>
    <w:link w:val="76"/>
    <w:qFormat/>
    <w:uiPriority w:val="0"/>
    <w:pPr>
      <w:spacing w:after="120"/>
      <w:ind w:left="420" w:leftChars="200"/>
    </w:pPr>
    <w:rPr>
      <w:szCs w:val="24"/>
    </w:rPr>
  </w:style>
  <w:style w:type="paragraph" w:styleId="23">
    <w:name w:val="List 2"/>
    <w:basedOn w:val="1"/>
    <w:qFormat/>
    <w:uiPriority w:val="0"/>
    <w:pPr>
      <w:adjustRightInd w:val="0"/>
      <w:spacing w:line="312" w:lineRule="atLeast"/>
      <w:ind w:left="840" w:hanging="420"/>
      <w:textAlignment w:val="baseline"/>
    </w:pPr>
    <w:rPr>
      <w:rFonts w:ascii="Calibri" w:hAnsi="Calibri"/>
      <w:kern w:val="0"/>
    </w:rPr>
  </w:style>
  <w:style w:type="paragraph" w:styleId="24">
    <w:name w:val="List Bullet 2"/>
    <w:basedOn w:val="1"/>
    <w:autoRedefine/>
    <w:qFormat/>
    <w:uiPriority w:val="0"/>
    <w:pPr>
      <w:tabs>
        <w:tab w:val="left" w:pos="780"/>
      </w:tabs>
      <w:ind w:left="420" w:hanging="420"/>
    </w:pPr>
    <w:rPr>
      <w:szCs w:val="24"/>
    </w:rPr>
  </w:style>
  <w:style w:type="paragraph" w:styleId="25">
    <w:name w:val="toc 5"/>
    <w:basedOn w:val="1"/>
    <w:next w:val="1"/>
    <w:semiHidden/>
    <w:qFormat/>
    <w:uiPriority w:val="0"/>
    <w:pPr>
      <w:ind w:left="1680" w:leftChars="800"/>
    </w:pPr>
    <w:rPr>
      <w:szCs w:val="24"/>
    </w:rPr>
  </w:style>
  <w:style w:type="paragraph" w:styleId="26">
    <w:name w:val="toc 3"/>
    <w:basedOn w:val="1"/>
    <w:next w:val="1"/>
    <w:autoRedefine/>
    <w:semiHidden/>
    <w:qFormat/>
    <w:uiPriority w:val="0"/>
    <w:pPr>
      <w:ind w:left="840" w:leftChars="400"/>
    </w:pPr>
    <w:rPr>
      <w:szCs w:val="24"/>
    </w:rPr>
  </w:style>
  <w:style w:type="paragraph" w:styleId="27">
    <w:name w:val="Plain Text"/>
    <w:basedOn w:val="1"/>
    <w:link w:val="59"/>
    <w:unhideWhenUsed/>
    <w:qFormat/>
    <w:uiPriority w:val="0"/>
    <w:rPr>
      <w:rFonts w:ascii="宋体" w:hAnsi="Courier New"/>
    </w:rPr>
  </w:style>
  <w:style w:type="paragraph" w:styleId="28">
    <w:name w:val="toc 8"/>
    <w:basedOn w:val="1"/>
    <w:next w:val="1"/>
    <w:semiHidden/>
    <w:qFormat/>
    <w:uiPriority w:val="0"/>
    <w:pPr>
      <w:ind w:left="2940" w:leftChars="1400"/>
    </w:pPr>
    <w:rPr>
      <w:szCs w:val="24"/>
    </w:rPr>
  </w:style>
  <w:style w:type="paragraph" w:styleId="29">
    <w:name w:val="Date"/>
    <w:basedOn w:val="1"/>
    <w:next w:val="1"/>
    <w:link w:val="78"/>
    <w:qFormat/>
    <w:uiPriority w:val="0"/>
  </w:style>
  <w:style w:type="paragraph" w:styleId="30">
    <w:name w:val="Body Text Indent 2"/>
    <w:basedOn w:val="1"/>
    <w:link w:val="79"/>
    <w:qFormat/>
    <w:uiPriority w:val="0"/>
    <w:pPr>
      <w:ind w:firstLine="480" w:firstLineChars="200"/>
    </w:pPr>
    <w:rPr>
      <w:rFonts w:ascii="宋体" w:hAnsi="宋体"/>
      <w:color w:val="FF0000"/>
      <w:sz w:val="24"/>
      <w:szCs w:val="24"/>
    </w:rPr>
  </w:style>
  <w:style w:type="paragraph" w:styleId="31">
    <w:name w:val="Balloon Text"/>
    <w:basedOn w:val="1"/>
    <w:link w:val="54"/>
    <w:autoRedefine/>
    <w:semiHidden/>
    <w:unhideWhenUsed/>
    <w:qFormat/>
    <w:uiPriority w:val="0"/>
    <w:rPr>
      <w:sz w:val="18"/>
      <w:szCs w:val="18"/>
    </w:rPr>
  </w:style>
  <w:style w:type="paragraph" w:styleId="32">
    <w:name w:val="footer"/>
    <w:basedOn w:val="1"/>
    <w:link w:val="55"/>
    <w:qFormat/>
    <w:uiPriority w:val="99"/>
    <w:pPr>
      <w:tabs>
        <w:tab w:val="center" w:pos="4153"/>
        <w:tab w:val="right" w:pos="8306"/>
      </w:tabs>
      <w:snapToGrid w:val="0"/>
      <w:jc w:val="left"/>
    </w:pPr>
    <w:rPr>
      <w:sz w:val="18"/>
    </w:rPr>
  </w:style>
  <w:style w:type="paragraph" w:styleId="33">
    <w:name w:val="header"/>
    <w:basedOn w:val="1"/>
    <w:link w:val="8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1"/>
    <w:next w:val="1"/>
    <w:qFormat/>
    <w:uiPriority w:val="39"/>
    <w:rPr>
      <w:szCs w:val="24"/>
    </w:rPr>
  </w:style>
  <w:style w:type="paragraph" w:styleId="35">
    <w:name w:val="toc 4"/>
    <w:basedOn w:val="1"/>
    <w:next w:val="1"/>
    <w:autoRedefine/>
    <w:semiHidden/>
    <w:qFormat/>
    <w:uiPriority w:val="0"/>
    <w:pPr>
      <w:ind w:left="1260" w:leftChars="600"/>
    </w:pPr>
    <w:rPr>
      <w:szCs w:val="24"/>
    </w:rPr>
  </w:style>
  <w:style w:type="paragraph" w:styleId="36">
    <w:name w:val="toc 6"/>
    <w:basedOn w:val="1"/>
    <w:next w:val="1"/>
    <w:autoRedefine/>
    <w:semiHidden/>
    <w:qFormat/>
    <w:uiPriority w:val="0"/>
    <w:pPr>
      <w:ind w:left="2100" w:leftChars="1000"/>
    </w:pPr>
    <w:rPr>
      <w:szCs w:val="24"/>
    </w:rPr>
  </w:style>
  <w:style w:type="paragraph" w:styleId="37">
    <w:name w:val="Body Text Indent 3"/>
    <w:basedOn w:val="1"/>
    <w:link w:val="82"/>
    <w:qFormat/>
    <w:uiPriority w:val="0"/>
    <w:pPr>
      <w:spacing w:line="360" w:lineRule="atLeast"/>
      <w:ind w:left="420" w:firstLine="480"/>
    </w:pPr>
    <w:rPr>
      <w:rFonts w:ascii="宋体"/>
      <w:sz w:val="24"/>
      <w:szCs w:val="24"/>
    </w:rPr>
  </w:style>
  <w:style w:type="paragraph" w:styleId="38">
    <w:name w:val="toc 2"/>
    <w:basedOn w:val="1"/>
    <w:next w:val="1"/>
    <w:semiHidden/>
    <w:qFormat/>
    <w:uiPriority w:val="0"/>
    <w:pPr>
      <w:ind w:left="420" w:leftChars="200"/>
    </w:pPr>
    <w:rPr>
      <w:szCs w:val="24"/>
    </w:rPr>
  </w:style>
  <w:style w:type="paragraph" w:styleId="39">
    <w:name w:val="toc 9"/>
    <w:basedOn w:val="1"/>
    <w:next w:val="1"/>
    <w:semiHidden/>
    <w:qFormat/>
    <w:uiPriority w:val="0"/>
    <w:pPr>
      <w:ind w:left="3360" w:leftChars="1600"/>
    </w:pPr>
    <w:rPr>
      <w:szCs w:val="24"/>
    </w:rPr>
  </w:style>
  <w:style w:type="paragraph" w:styleId="40">
    <w:name w:val="Body Text 2"/>
    <w:basedOn w:val="1"/>
    <w:link w:val="83"/>
    <w:qFormat/>
    <w:uiPriority w:val="0"/>
    <w:rPr>
      <w:rFonts w:ascii="宋体"/>
      <w:b/>
      <w:bCs/>
      <w:color w:val="0000FF"/>
      <w:sz w:val="30"/>
      <w:szCs w:val="24"/>
    </w:rPr>
  </w:style>
  <w:style w:type="paragraph" w:styleId="41">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next w:val="1"/>
    <w:link w:val="56"/>
    <w:qFormat/>
    <w:uiPriority w:val="0"/>
    <w:pPr>
      <w:adjustRightInd w:val="0"/>
      <w:snapToGrid w:val="0"/>
      <w:spacing w:before="120" w:after="120" w:line="520" w:lineRule="exact"/>
      <w:jc w:val="center"/>
      <w:outlineLvl w:val="0"/>
    </w:pPr>
    <w:rPr>
      <w:rFonts w:ascii="黑体" w:eastAsia="黑体"/>
      <w:snapToGrid w:val="0"/>
      <w:sz w:val="28"/>
    </w:rPr>
  </w:style>
  <w:style w:type="paragraph" w:styleId="44">
    <w:name w:val="annotation subject"/>
    <w:basedOn w:val="19"/>
    <w:next w:val="19"/>
    <w:link w:val="86"/>
    <w:semiHidden/>
    <w:qFormat/>
    <w:uiPriority w:val="0"/>
    <w:rPr>
      <w:b/>
      <w:bCs/>
      <w:szCs w:val="24"/>
    </w:rPr>
  </w:style>
  <w:style w:type="table" w:styleId="46">
    <w:name w:val="Table Grid"/>
    <w:basedOn w:val="4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unhideWhenUsed/>
    <w:qFormat/>
    <w:uiPriority w:val="0"/>
    <w:rPr>
      <w:kern w:val="2"/>
      <w:sz w:val="21"/>
      <w:szCs w:val="21"/>
    </w:rPr>
  </w:style>
  <w:style w:type="character" w:styleId="50">
    <w:name w:val="FollowedHyperlink"/>
    <w:qFormat/>
    <w:uiPriority w:val="0"/>
    <w:rPr>
      <w:color w:val="800080"/>
      <w:u w:val="single"/>
    </w:rPr>
  </w:style>
  <w:style w:type="character" w:styleId="51">
    <w:name w:val="Hyperlink"/>
    <w:basedOn w:val="47"/>
    <w:unhideWhenUsed/>
    <w:qFormat/>
    <w:uiPriority w:val="99"/>
    <w:rPr>
      <w:color w:val="0563C1" w:themeColor="hyperlink"/>
      <w:u w:val="single"/>
      <w14:textFill>
        <w14:solidFill>
          <w14:schemeClr w14:val="hlink"/>
        </w14:solidFill>
      </w14:textFill>
    </w:rPr>
  </w:style>
  <w:style w:type="character" w:styleId="52">
    <w:name w:val="annotation reference"/>
    <w:semiHidden/>
    <w:qFormat/>
    <w:uiPriority w:val="0"/>
    <w:rPr>
      <w:sz w:val="21"/>
      <w:szCs w:val="21"/>
    </w:rPr>
  </w:style>
  <w:style w:type="paragraph" w:customStyle="1" w:styleId="53">
    <w:name w:val="Char Char Char1 Char Char Char Char"/>
    <w:basedOn w:val="1"/>
    <w:qFormat/>
    <w:uiPriority w:val="0"/>
    <w:rPr>
      <w:szCs w:val="21"/>
    </w:rPr>
  </w:style>
  <w:style w:type="character" w:customStyle="1" w:styleId="54">
    <w:name w:val="批注框文本 字符"/>
    <w:basedOn w:val="47"/>
    <w:link w:val="31"/>
    <w:autoRedefine/>
    <w:semiHidden/>
    <w:qFormat/>
    <w:uiPriority w:val="99"/>
    <w:rPr>
      <w:kern w:val="2"/>
      <w:sz w:val="18"/>
      <w:szCs w:val="18"/>
    </w:rPr>
  </w:style>
  <w:style w:type="character" w:customStyle="1" w:styleId="55">
    <w:name w:val="页脚 字符"/>
    <w:basedOn w:val="47"/>
    <w:link w:val="32"/>
    <w:qFormat/>
    <w:uiPriority w:val="99"/>
    <w:rPr>
      <w:kern w:val="2"/>
      <w:sz w:val="18"/>
    </w:rPr>
  </w:style>
  <w:style w:type="character" w:customStyle="1" w:styleId="56">
    <w:name w:val="标题 字符"/>
    <w:link w:val="43"/>
    <w:qFormat/>
    <w:uiPriority w:val="10"/>
    <w:rPr>
      <w:rFonts w:ascii="黑体" w:eastAsia="黑体"/>
      <w:snapToGrid w:val="0"/>
      <w:kern w:val="2"/>
      <w:sz w:val="28"/>
    </w:rPr>
  </w:style>
  <w:style w:type="character" w:customStyle="1" w:styleId="57">
    <w:name w:val="标题 1 字符"/>
    <w:basedOn w:val="47"/>
    <w:link w:val="2"/>
    <w:qFormat/>
    <w:uiPriority w:val="0"/>
    <w:rPr>
      <w:kern w:val="2"/>
      <w:sz w:val="28"/>
    </w:rPr>
  </w:style>
  <w:style w:type="character" w:customStyle="1" w:styleId="58">
    <w:name w:val="正文缩进 字符"/>
    <w:link w:val="16"/>
    <w:qFormat/>
    <w:uiPriority w:val="0"/>
    <w:rPr>
      <w:rFonts w:ascii="@楷体" w:hAnsi="Symbol" w:eastAsia="楷体"/>
      <w:kern w:val="28"/>
      <w:sz w:val="15"/>
    </w:rPr>
  </w:style>
  <w:style w:type="character" w:customStyle="1" w:styleId="59">
    <w:name w:val="纯文本 字符"/>
    <w:link w:val="27"/>
    <w:qFormat/>
    <w:uiPriority w:val="0"/>
    <w:rPr>
      <w:rFonts w:ascii="宋体" w:hAnsi="Courier New"/>
      <w:kern w:val="2"/>
      <w:sz w:val="21"/>
    </w:rPr>
  </w:style>
  <w:style w:type="paragraph" w:customStyle="1" w:styleId="60">
    <w:name w:val="列出段落1"/>
    <w:basedOn w:val="1"/>
    <w:qFormat/>
    <w:uiPriority w:val="0"/>
    <w:pPr>
      <w:ind w:firstLine="420" w:firstLineChars="200"/>
    </w:pPr>
    <w:rPr>
      <w:rFonts w:ascii="Calibri" w:hAnsi="Calibri" w:cs="Calibri"/>
      <w:szCs w:val="21"/>
    </w:rPr>
  </w:style>
  <w:style w:type="character" w:customStyle="1" w:styleId="61">
    <w:name w:val="正文文本 字符"/>
    <w:basedOn w:val="47"/>
    <w:link w:val="21"/>
    <w:qFormat/>
    <w:uiPriority w:val="0"/>
    <w:rPr>
      <w:rFonts w:ascii="宋体" w:hAnsi="宋体"/>
      <w:color w:val="0000FF"/>
      <w:kern w:val="2"/>
      <w:sz w:val="24"/>
      <w:szCs w:val="24"/>
    </w:rPr>
  </w:style>
  <w:style w:type="paragraph" w:styleId="62">
    <w:name w:val="List Paragraph"/>
    <w:basedOn w:val="1"/>
    <w:qFormat/>
    <w:uiPriority w:val="34"/>
    <w:pPr>
      <w:ind w:firstLine="420" w:firstLineChars="200"/>
    </w:pPr>
  </w:style>
  <w:style w:type="table" w:customStyle="1" w:styleId="63">
    <w:name w:val="网格型1"/>
    <w:basedOn w:val="4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标题 2 字符"/>
    <w:basedOn w:val="47"/>
    <w:link w:val="3"/>
    <w:qFormat/>
    <w:uiPriority w:val="0"/>
    <w:rPr>
      <w:rFonts w:ascii="Arial" w:hAnsi="Arial" w:eastAsia="黑体"/>
      <w:b/>
      <w:sz w:val="32"/>
    </w:rPr>
  </w:style>
  <w:style w:type="character" w:customStyle="1" w:styleId="65">
    <w:name w:val="标题 3 字符"/>
    <w:basedOn w:val="47"/>
    <w:link w:val="4"/>
    <w:qFormat/>
    <w:uiPriority w:val="0"/>
    <w:rPr>
      <w:b/>
      <w:sz w:val="32"/>
    </w:rPr>
  </w:style>
  <w:style w:type="character" w:customStyle="1" w:styleId="66">
    <w:name w:val="标题 4 字符"/>
    <w:basedOn w:val="47"/>
    <w:link w:val="5"/>
    <w:qFormat/>
    <w:uiPriority w:val="0"/>
    <w:rPr>
      <w:rFonts w:ascii="Arial" w:hAnsi="Arial" w:eastAsia="黑体"/>
      <w:b/>
      <w:sz w:val="28"/>
    </w:rPr>
  </w:style>
  <w:style w:type="character" w:customStyle="1" w:styleId="67">
    <w:name w:val="标题 5 字符"/>
    <w:basedOn w:val="47"/>
    <w:link w:val="6"/>
    <w:qFormat/>
    <w:uiPriority w:val="0"/>
    <w:rPr>
      <w:b/>
      <w:sz w:val="28"/>
    </w:rPr>
  </w:style>
  <w:style w:type="character" w:customStyle="1" w:styleId="68">
    <w:name w:val="标题 6 字符"/>
    <w:basedOn w:val="47"/>
    <w:link w:val="7"/>
    <w:qFormat/>
    <w:uiPriority w:val="0"/>
    <w:rPr>
      <w:rFonts w:ascii="Arial" w:hAnsi="Arial" w:eastAsia="黑体"/>
      <w:b/>
      <w:sz w:val="24"/>
    </w:rPr>
  </w:style>
  <w:style w:type="character" w:customStyle="1" w:styleId="69">
    <w:name w:val="标题 7 字符"/>
    <w:basedOn w:val="47"/>
    <w:link w:val="8"/>
    <w:qFormat/>
    <w:uiPriority w:val="0"/>
    <w:rPr>
      <w:b/>
      <w:sz w:val="24"/>
    </w:rPr>
  </w:style>
  <w:style w:type="character" w:customStyle="1" w:styleId="70">
    <w:name w:val="标题 8 字符"/>
    <w:basedOn w:val="47"/>
    <w:link w:val="9"/>
    <w:qFormat/>
    <w:uiPriority w:val="0"/>
    <w:rPr>
      <w:rFonts w:ascii="Arial" w:hAnsi="Arial" w:eastAsia="黑体"/>
      <w:sz w:val="24"/>
    </w:rPr>
  </w:style>
  <w:style w:type="character" w:customStyle="1" w:styleId="71">
    <w:name w:val="标题 9 字符"/>
    <w:basedOn w:val="47"/>
    <w:link w:val="10"/>
    <w:qFormat/>
    <w:uiPriority w:val="0"/>
    <w:rPr>
      <w:rFonts w:ascii="Arial" w:hAnsi="Arial" w:eastAsia="黑体"/>
      <w:sz w:val="24"/>
    </w:rPr>
  </w:style>
  <w:style w:type="character" w:customStyle="1" w:styleId="72">
    <w:name w:val="正文缩进 Char"/>
    <w:qFormat/>
    <w:uiPriority w:val="0"/>
    <w:rPr>
      <w:rFonts w:ascii="@楷体" w:hAnsi="Symbol" w:eastAsia="楷体"/>
      <w:kern w:val="28"/>
      <w:sz w:val="15"/>
      <w:lang w:val="en-US" w:eastAsia="zh-CN" w:bidi="ar-SA"/>
    </w:rPr>
  </w:style>
  <w:style w:type="character" w:customStyle="1" w:styleId="73">
    <w:name w:val="文档结构图 字符"/>
    <w:basedOn w:val="47"/>
    <w:semiHidden/>
    <w:qFormat/>
    <w:uiPriority w:val="99"/>
    <w:rPr>
      <w:rFonts w:ascii="Microsoft YaHei UI" w:eastAsia="Microsoft YaHei UI"/>
      <w:kern w:val="2"/>
      <w:sz w:val="18"/>
      <w:szCs w:val="18"/>
    </w:rPr>
  </w:style>
  <w:style w:type="character" w:customStyle="1" w:styleId="74">
    <w:name w:val="文档结构图 字符1"/>
    <w:link w:val="18"/>
    <w:qFormat/>
    <w:uiPriority w:val="0"/>
    <w:rPr>
      <w:rFonts w:ascii="宋体"/>
      <w:kern w:val="2"/>
      <w:sz w:val="18"/>
      <w:szCs w:val="18"/>
    </w:rPr>
  </w:style>
  <w:style w:type="character" w:customStyle="1" w:styleId="75">
    <w:name w:val="批注文字 字符"/>
    <w:basedOn w:val="47"/>
    <w:link w:val="19"/>
    <w:semiHidden/>
    <w:qFormat/>
    <w:uiPriority w:val="0"/>
    <w:rPr>
      <w:kern w:val="2"/>
      <w:sz w:val="21"/>
    </w:rPr>
  </w:style>
  <w:style w:type="character" w:customStyle="1" w:styleId="76">
    <w:name w:val="正文文本缩进 字符"/>
    <w:basedOn w:val="47"/>
    <w:link w:val="22"/>
    <w:qFormat/>
    <w:uiPriority w:val="0"/>
    <w:rPr>
      <w:kern w:val="2"/>
      <w:sz w:val="21"/>
      <w:szCs w:val="24"/>
    </w:rPr>
  </w:style>
  <w:style w:type="character" w:customStyle="1" w:styleId="77">
    <w:name w:val="纯文本 Char"/>
    <w:qFormat/>
    <w:uiPriority w:val="0"/>
    <w:rPr>
      <w:rFonts w:ascii="宋体" w:hAnsi="Courier New"/>
      <w:kern w:val="2"/>
      <w:sz w:val="21"/>
    </w:rPr>
  </w:style>
  <w:style w:type="character" w:customStyle="1" w:styleId="78">
    <w:name w:val="日期 字符"/>
    <w:basedOn w:val="47"/>
    <w:link w:val="29"/>
    <w:autoRedefine/>
    <w:qFormat/>
    <w:uiPriority w:val="0"/>
    <w:rPr>
      <w:kern w:val="2"/>
      <w:sz w:val="21"/>
    </w:rPr>
  </w:style>
  <w:style w:type="character" w:customStyle="1" w:styleId="79">
    <w:name w:val="正文文本缩进 2 字符"/>
    <w:basedOn w:val="47"/>
    <w:link w:val="30"/>
    <w:qFormat/>
    <w:uiPriority w:val="0"/>
    <w:rPr>
      <w:rFonts w:ascii="宋体" w:hAnsi="宋体"/>
      <w:color w:val="FF0000"/>
      <w:kern w:val="2"/>
      <w:sz w:val="24"/>
      <w:szCs w:val="24"/>
    </w:rPr>
  </w:style>
  <w:style w:type="character" w:customStyle="1" w:styleId="80">
    <w:name w:val="页脚 Char"/>
    <w:autoRedefine/>
    <w:qFormat/>
    <w:uiPriority w:val="99"/>
    <w:rPr>
      <w:kern w:val="2"/>
      <w:sz w:val="18"/>
      <w:szCs w:val="18"/>
      <w:lang w:val="en-US" w:eastAsia="zh-CN"/>
    </w:rPr>
  </w:style>
  <w:style w:type="character" w:customStyle="1" w:styleId="81">
    <w:name w:val="页眉 字符"/>
    <w:link w:val="33"/>
    <w:autoRedefine/>
    <w:qFormat/>
    <w:uiPriority w:val="99"/>
    <w:rPr>
      <w:kern w:val="2"/>
      <w:sz w:val="18"/>
    </w:rPr>
  </w:style>
  <w:style w:type="character" w:customStyle="1" w:styleId="82">
    <w:name w:val="正文文本缩进 3 字符"/>
    <w:basedOn w:val="47"/>
    <w:link w:val="37"/>
    <w:qFormat/>
    <w:uiPriority w:val="0"/>
    <w:rPr>
      <w:rFonts w:ascii="宋体"/>
      <w:kern w:val="2"/>
      <w:sz w:val="24"/>
      <w:szCs w:val="24"/>
    </w:rPr>
  </w:style>
  <w:style w:type="character" w:customStyle="1" w:styleId="83">
    <w:name w:val="正文文本 2 字符"/>
    <w:basedOn w:val="47"/>
    <w:link w:val="40"/>
    <w:qFormat/>
    <w:uiPriority w:val="0"/>
    <w:rPr>
      <w:rFonts w:ascii="宋体"/>
      <w:b/>
      <w:bCs/>
      <w:color w:val="0000FF"/>
      <w:kern w:val="2"/>
      <w:sz w:val="30"/>
      <w:szCs w:val="24"/>
    </w:rPr>
  </w:style>
  <w:style w:type="character" w:customStyle="1" w:styleId="84">
    <w:name w:val="HTML 预设格式 字符"/>
    <w:basedOn w:val="47"/>
    <w:semiHidden/>
    <w:qFormat/>
    <w:uiPriority w:val="99"/>
    <w:rPr>
      <w:rFonts w:ascii="Courier New" w:hAnsi="Courier New" w:cs="Courier New"/>
      <w:kern w:val="2"/>
    </w:rPr>
  </w:style>
  <w:style w:type="character" w:customStyle="1" w:styleId="85">
    <w:name w:val="HTML 预设格式 字符1"/>
    <w:link w:val="41"/>
    <w:qFormat/>
    <w:uiPriority w:val="99"/>
    <w:rPr>
      <w:rFonts w:ascii="宋体" w:hAnsi="宋体" w:cs="宋体"/>
      <w:sz w:val="24"/>
      <w:szCs w:val="24"/>
    </w:rPr>
  </w:style>
  <w:style w:type="character" w:customStyle="1" w:styleId="86">
    <w:name w:val="批注主题 字符"/>
    <w:basedOn w:val="75"/>
    <w:link w:val="44"/>
    <w:semiHidden/>
    <w:qFormat/>
    <w:uiPriority w:val="0"/>
    <w:rPr>
      <w:b/>
      <w:bCs/>
      <w:kern w:val="2"/>
      <w:sz w:val="21"/>
      <w:szCs w:val="24"/>
    </w:rPr>
  </w:style>
  <w:style w:type="character" w:customStyle="1" w:styleId="87">
    <w:name w:val="txt41"/>
    <w:qFormat/>
    <w:uiPriority w:val="0"/>
    <w:rPr>
      <w:b/>
      <w:bCs/>
      <w:color w:val="000000"/>
      <w:sz w:val="29"/>
      <w:szCs w:val="29"/>
    </w:rPr>
  </w:style>
  <w:style w:type="character" w:customStyle="1" w:styleId="88">
    <w:name w:val="样式12 Char"/>
    <w:link w:val="89"/>
    <w:qFormat/>
    <w:locked/>
    <w:uiPriority w:val="0"/>
    <w:rPr>
      <w:kern w:val="2"/>
      <w:sz w:val="24"/>
    </w:rPr>
  </w:style>
  <w:style w:type="paragraph" w:customStyle="1" w:styleId="89">
    <w:name w:val="样式12"/>
    <w:basedOn w:val="1"/>
    <w:link w:val="88"/>
    <w:qFormat/>
    <w:uiPriority w:val="0"/>
    <w:pPr>
      <w:tabs>
        <w:tab w:val="left" w:pos="533"/>
      </w:tabs>
      <w:ind w:left="420" w:hanging="420"/>
    </w:pPr>
    <w:rPr>
      <w:sz w:val="24"/>
    </w:rPr>
  </w:style>
  <w:style w:type="character" w:customStyle="1" w:styleId="90">
    <w:name w:val="txt91"/>
    <w:qFormat/>
    <w:uiPriority w:val="0"/>
    <w:rPr>
      <w:b/>
      <w:bCs/>
      <w:color w:val="330066"/>
      <w:sz w:val="22"/>
      <w:szCs w:val="22"/>
    </w:rPr>
  </w:style>
  <w:style w:type="character" w:customStyle="1" w:styleId="91">
    <w:name w:val="txt14"/>
    <w:qFormat/>
    <w:uiPriority w:val="0"/>
    <w:rPr>
      <w:color w:val="000000"/>
      <w:sz w:val="29"/>
      <w:szCs w:val="29"/>
    </w:rPr>
  </w:style>
  <w:style w:type="paragraph" w:customStyle="1" w:styleId="92">
    <w:name w:val="大标题"/>
    <w:basedOn w:val="1"/>
    <w:qFormat/>
    <w:uiPriority w:val="0"/>
    <w:pPr>
      <w:jc w:val="center"/>
    </w:pPr>
    <w:rPr>
      <w:rFonts w:ascii="黑体" w:eastAsia="黑体" w:cs="宋体"/>
      <w:b/>
      <w:bCs/>
      <w:sz w:val="32"/>
    </w:rPr>
  </w:style>
  <w:style w:type="paragraph" w:customStyle="1" w:styleId="93">
    <w:name w:val="4 Char"/>
    <w:basedOn w:val="1"/>
    <w:qFormat/>
    <w:uiPriority w:val="0"/>
    <w:rPr>
      <w:szCs w:val="24"/>
    </w:rPr>
  </w:style>
  <w:style w:type="paragraph" w:customStyle="1" w:styleId="94">
    <w:name w:val="Char Char Char1"/>
    <w:basedOn w:val="1"/>
    <w:qFormat/>
    <w:uiPriority w:val="0"/>
    <w:rPr>
      <w:szCs w:val="24"/>
    </w:rPr>
  </w:style>
  <w:style w:type="paragraph" w:customStyle="1" w:styleId="95">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96">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97">
    <w:name w:val="日期1"/>
    <w:basedOn w:val="1"/>
    <w:next w:val="1"/>
    <w:autoRedefine/>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98">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99">
    <w:name w:val="Char"/>
    <w:basedOn w:val="1"/>
    <w:autoRedefine/>
    <w:qFormat/>
    <w:uiPriority w:val="0"/>
    <w:rPr>
      <w:szCs w:val="21"/>
    </w:rPr>
  </w:style>
  <w:style w:type="paragraph" w:customStyle="1" w:styleId="100">
    <w:name w:val="列出段落2"/>
    <w:basedOn w:val="1"/>
    <w:qFormat/>
    <w:uiPriority w:val="0"/>
    <w:pPr>
      <w:ind w:firstLine="420" w:firstLineChars="200"/>
    </w:pPr>
    <w:rPr>
      <w:rFonts w:ascii="Calibri" w:hAnsi="Calibri" w:cs="Calibri"/>
      <w:szCs w:val="21"/>
    </w:rPr>
  </w:style>
  <w:style w:type="paragraph" w:customStyle="1" w:styleId="101">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2">
    <w:name w:val="Char1"/>
    <w:basedOn w:val="1"/>
    <w:qFormat/>
    <w:uiPriority w:val="0"/>
    <w:rPr>
      <w:szCs w:val="24"/>
    </w:rPr>
  </w:style>
  <w:style w:type="paragraph" w:customStyle="1" w:styleId="103">
    <w:name w:val="Char Char Char Char"/>
    <w:basedOn w:val="1"/>
    <w:qFormat/>
    <w:uiPriority w:val="0"/>
    <w:pPr>
      <w:adjustRightInd w:val="0"/>
      <w:spacing w:line="360" w:lineRule="auto"/>
    </w:pPr>
    <w:rPr>
      <w:rFonts w:ascii="Tahoma" w:hAnsi="Tahoma"/>
      <w:kern w:val="0"/>
      <w:sz w:val="24"/>
    </w:rPr>
  </w:style>
  <w:style w:type="paragraph" w:customStyle="1" w:styleId="104">
    <w:name w:val="内容文字"/>
    <w:basedOn w:val="1"/>
    <w:qFormat/>
    <w:uiPriority w:val="0"/>
    <w:pPr>
      <w:spacing w:line="360" w:lineRule="exact"/>
    </w:pPr>
    <w:rPr>
      <w:rFonts w:ascii="宋体"/>
      <w:sz w:val="24"/>
    </w:rPr>
  </w:style>
  <w:style w:type="paragraph" w:customStyle="1" w:styleId="105">
    <w:name w:val="tablecontents"/>
    <w:basedOn w:val="1"/>
    <w:autoRedefine/>
    <w:qFormat/>
    <w:uiPriority w:val="0"/>
    <w:pPr>
      <w:widowControl/>
      <w:spacing w:after="60"/>
    </w:pPr>
    <w:rPr>
      <w:rFonts w:ascii="Arial" w:hAnsi="Arial"/>
      <w:kern w:val="0"/>
      <w:sz w:val="20"/>
    </w:rPr>
  </w:style>
  <w:style w:type="paragraph" w:customStyle="1" w:styleId="106">
    <w:name w:val="5 Char Char Char Char"/>
    <w:basedOn w:val="1"/>
    <w:qFormat/>
    <w:uiPriority w:val="0"/>
    <w:pPr>
      <w:keepNext/>
      <w:keepLines/>
      <w:spacing w:line="360" w:lineRule="auto"/>
      <w:ind w:firstLine="480" w:firstLineChars="200"/>
    </w:pPr>
    <w:rPr>
      <w:kern w:val="0"/>
      <w:sz w:val="24"/>
    </w:rPr>
  </w:style>
  <w:style w:type="paragraph" w:customStyle="1" w:styleId="107">
    <w:name w:val="Char Char Char Char Char Char Char"/>
    <w:basedOn w:val="1"/>
    <w:qFormat/>
    <w:uiPriority w:val="0"/>
    <w:pPr>
      <w:adjustRightInd w:val="0"/>
      <w:spacing w:line="360" w:lineRule="auto"/>
    </w:pPr>
    <w:rPr>
      <w:rFonts w:ascii="Tahoma" w:hAnsi="Tahoma"/>
      <w:kern w:val="0"/>
      <w:sz w:val="24"/>
    </w:rPr>
  </w:style>
  <w:style w:type="character" w:customStyle="1" w:styleId="108">
    <w:name w:val="readmail_locationtip"/>
    <w:qFormat/>
    <w:uiPriority w:val="0"/>
  </w:style>
  <w:style w:type="table" w:customStyle="1" w:styleId="10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0">
    <w:name w:val="Style1"/>
    <w:basedOn w:val="1"/>
    <w:qFormat/>
    <w:uiPriority w:val="0"/>
    <w:pPr>
      <w:widowControl/>
      <w:tabs>
        <w:tab w:val="left" w:pos="-720"/>
      </w:tabs>
      <w:spacing w:after="120" w:afterLines="0"/>
    </w:pPr>
    <w:rPr>
      <w:spacing w:val="-3"/>
      <w:kern w:val="0"/>
      <w:sz w:val="24"/>
      <w:lang w:val="en-AU" w:eastAsia="en-US"/>
    </w:rPr>
  </w:style>
  <w:style w:type="paragraph" w:styleId="111">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12">
    <w:name w:val="无间隔1"/>
    <w:qFormat/>
    <w:uiPriority w:val="0"/>
    <w:pPr>
      <w:widowControl w:val="0"/>
      <w:ind w:firstLine="475" w:firstLineChars="198"/>
    </w:pPr>
    <w:rPr>
      <w:rFonts w:ascii="Times New Roman" w:hAnsi="Times New Roman" w:eastAsia="宋体" w:cs="Times New Roman"/>
      <w:sz w:val="24"/>
      <w:szCs w:val="21"/>
      <w:lang w:val="en-US" w:eastAsia="zh-CN" w:bidi="ar-SA"/>
    </w:rPr>
  </w:style>
  <w:style w:type="character" w:customStyle="1" w:styleId="113">
    <w:name w:val="font11"/>
    <w:basedOn w:val="47"/>
    <w:qFormat/>
    <w:uiPriority w:val="0"/>
    <w:rPr>
      <w:rFonts w:hint="default" w:ascii="Times New Roman" w:hAnsi="Times New Roman" w:cs="Times New Roman"/>
      <w:color w:val="000000"/>
      <w:sz w:val="24"/>
      <w:szCs w:val="24"/>
      <w:u w:val="none"/>
    </w:rPr>
  </w:style>
  <w:style w:type="paragraph" w:customStyle="1" w:styleId="114">
    <w:name w:val="正文1"/>
    <w:qFormat/>
    <w:uiPriority w:val="0"/>
    <w:pPr>
      <w:widowControl w:val="0"/>
      <w:spacing w:line="360" w:lineRule="atLeast"/>
    </w:pPr>
    <w:rPr>
      <w:rFonts w:ascii="Tms Rmn" w:hAnsi="Tms Rmn" w:eastAsia="宋体" w:cs="Times New Roman"/>
      <w:lang w:val="en-US" w:eastAsia="zh-CN" w:bidi="ar-SA"/>
    </w:rPr>
  </w:style>
  <w:style w:type="paragraph" w:customStyle="1" w:styleId="115">
    <w:name w:val="*正文_0"/>
    <w:basedOn w:val="1"/>
    <w:next w:val="1"/>
    <w:qFormat/>
    <w:uiPriority w:val="0"/>
    <w:pPr>
      <w:widowControl/>
      <w:ind w:firstLine="482"/>
    </w:pPr>
    <w:rPr>
      <w:rFonts w:ascii="微软雅黑" w:hAnsi="微软雅黑" w:eastAsia="微软雅黑"/>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8423</Words>
  <Characters>8770</Characters>
  <Lines>97</Lines>
  <Paragraphs>27</Paragraphs>
  <TotalTime>13</TotalTime>
  <ScaleCrop>false</ScaleCrop>
  <LinksUpToDate>false</LinksUpToDate>
  <CharactersWithSpaces>9646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小李</cp:lastModifiedBy>
  <cp:lastPrinted>2025-04-22T08:46:00Z</cp:lastPrinted>
  <dcterms:modified xsi:type="dcterms:W3CDTF">2026-07-03T03:08:59Z</dcterms:modified>
  <dc:title>一、标书制作要求：</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F6F29787A73D4B93AB340CF55A737D0F_12</vt:lpwstr>
  </property>
  <property fmtid="{D5CDD505-2E9C-101B-9397-08002B2CF9AE}" pid="4" name="KSOTemplateDocerSaveRecord">
    <vt:lpwstr>eyJoZGlkIjoiYTNkNWExZmE2MzcyMDI2NjhkMzgxNTk3MTBkMDE1NzMiLCJ1c2VySWQiOiI3MjExMzM3MjcifQ==</vt:lpwstr>
  </property>
</Properties>
</file>