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71024C">
      <w:pPr>
        <w:tabs>
          <w:tab w:val="left" w:pos="2520"/>
        </w:tabs>
        <w:spacing w:line="500" w:lineRule="exact"/>
        <w:jc w:val="center"/>
        <w:rPr>
          <w:rFonts w:hint="eastAsia" w:ascii="宋体" w:hAnsi="宋体"/>
          <w:b/>
          <w:bCs/>
          <w:color w:val="000000"/>
          <w:sz w:val="44"/>
          <w:szCs w:val="44"/>
        </w:rPr>
      </w:pPr>
      <w:r>
        <w:rPr>
          <w:rFonts w:hint="eastAsia" w:ascii="宋体" w:hAnsi="宋体"/>
          <w:b/>
          <w:bCs/>
          <w:color w:val="000000"/>
          <w:sz w:val="44"/>
          <w:szCs w:val="44"/>
        </w:rPr>
        <w:t>招标文件</w:t>
      </w:r>
    </w:p>
    <w:p w14:paraId="31621C5F">
      <w:pPr>
        <w:spacing w:line="500" w:lineRule="exact"/>
        <w:rPr>
          <w:rFonts w:hint="eastAsia" w:ascii="宋体" w:hAnsi="宋体"/>
          <w:b/>
          <w:bCs/>
          <w:color w:val="000000"/>
          <w:sz w:val="32"/>
          <w:szCs w:val="32"/>
        </w:rPr>
      </w:pPr>
    </w:p>
    <w:p w14:paraId="3EA0BE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各投标单位：</w:t>
      </w:r>
    </w:p>
    <w:p w14:paraId="156DA93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万基控股集团有限公司</w:t>
      </w:r>
      <w:r>
        <w:rPr>
          <w:rFonts w:hint="eastAsia" w:ascii="仿宋" w:hAnsi="仿宋" w:eastAsia="仿宋" w:cs="仿宋"/>
          <w:color w:val="000000"/>
          <w:sz w:val="32"/>
          <w:szCs w:val="32"/>
          <w:lang w:val="en-US" w:eastAsia="zh-CN"/>
        </w:rPr>
        <w:t>经营管理部招标办</w:t>
      </w:r>
      <w:r>
        <w:rPr>
          <w:rFonts w:hint="eastAsia" w:ascii="仿宋" w:hAnsi="仿宋" w:eastAsia="仿宋" w:cs="仿宋"/>
          <w:color w:val="000000"/>
          <w:sz w:val="32"/>
          <w:szCs w:val="32"/>
        </w:rPr>
        <w:t>拟对</w:t>
      </w:r>
      <w:r>
        <w:rPr>
          <w:rFonts w:hint="eastAsia" w:ascii="仿宋" w:hAnsi="仿宋" w:eastAsia="仿宋" w:cs="仿宋"/>
          <w:color w:val="000000"/>
          <w:sz w:val="32"/>
          <w:szCs w:val="32"/>
          <w:lang w:val="en-US" w:eastAsia="zh-CN"/>
        </w:rPr>
        <w:t>各单位危险废物物联网系统运维项目</w:t>
      </w:r>
      <w:bookmarkStart w:id="9" w:name="_GoBack"/>
      <w:bookmarkEnd w:id="9"/>
      <w:r>
        <w:rPr>
          <w:rFonts w:hint="eastAsia" w:ascii="仿宋" w:hAnsi="仿宋" w:eastAsia="仿宋" w:cs="仿宋"/>
          <w:color w:val="000000"/>
          <w:sz w:val="32"/>
          <w:szCs w:val="32"/>
        </w:rPr>
        <w:t>[编号：WJ</w:t>
      </w:r>
      <w:r>
        <w:rPr>
          <w:rFonts w:hint="eastAsia" w:ascii="仿宋" w:hAnsi="仿宋" w:eastAsia="仿宋" w:cs="仿宋"/>
          <w:color w:val="000000"/>
          <w:sz w:val="32"/>
          <w:szCs w:val="32"/>
          <w:lang w:val="en-US" w:eastAsia="zh-CN"/>
        </w:rPr>
        <w:t>WZ-(2026)06010</w:t>
      </w:r>
      <w:r>
        <w:rPr>
          <w:rFonts w:hint="eastAsia" w:ascii="仿宋" w:hAnsi="仿宋" w:eastAsia="仿宋" w:cs="仿宋"/>
          <w:color w:val="000000"/>
          <w:sz w:val="32"/>
          <w:szCs w:val="32"/>
        </w:rPr>
        <w:t>]进行公开招标（</w:t>
      </w:r>
      <w:r>
        <w:rPr>
          <w:rFonts w:hint="eastAsia" w:ascii="仿宋" w:hAnsi="仿宋" w:eastAsia="仿宋" w:cs="仿宋"/>
          <w:color w:val="000000"/>
          <w:sz w:val="32"/>
          <w:szCs w:val="32"/>
          <w:lang w:val="en-US" w:eastAsia="zh-CN"/>
        </w:rPr>
        <w:t>详细</w:t>
      </w:r>
      <w:r>
        <w:rPr>
          <w:rFonts w:hint="eastAsia" w:ascii="仿宋" w:hAnsi="仿宋" w:eastAsia="仿宋" w:cs="仿宋"/>
          <w:color w:val="000000"/>
          <w:sz w:val="32"/>
          <w:szCs w:val="32"/>
        </w:rPr>
        <w:t>技术标准见</w:t>
      </w:r>
      <w:r>
        <w:rPr>
          <w:rFonts w:hint="eastAsia" w:ascii="仿宋" w:hAnsi="仿宋" w:eastAsia="仿宋" w:cs="仿宋"/>
          <w:color w:val="000000"/>
          <w:sz w:val="32"/>
          <w:szCs w:val="32"/>
          <w:lang w:val="en-US" w:eastAsia="zh-CN"/>
        </w:rPr>
        <w:t>技术要求</w:t>
      </w:r>
      <w:r>
        <w:rPr>
          <w:rFonts w:hint="eastAsia" w:ascii="仿宋" w:hAnsi="仿宋" w:eastAsia="仿宋" w:cs="仿宋"/>
          <w:color w:val="000000"/>
          <w:sz w:val="32"/>
          <w:szCs w:val="32"/>
        </w:rPr>
        <w:t xml:space="preserve">），望收到招标文件的单位按招标要求认真核算价格并按时参加，逾期将按弃标处理。 </w:t>
      </w:r>
    </w:p>
    <w:p w14:paraId="1B4892B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开标时间：</w:t>
      </w:r>
      <w:r>
        <w:rPr>
          <w:rFonts w:hint="eastAsia" w:ascii="仿宋" w:hAnsi="仿宋" w:eastAsia="仿宋" w:cs="仿宋"/>
          <w:color w:val="000000"/>
          <w:sz w:val="32"/>
          <w:szCs w:val="32"/>
          <w:lang w:eastAsia="zh-CN"/>
        </w:rPr>
        <w:t>2025年6月17日10：00</w:t>
      </w:r>
      <w:r>
        <w:rPr>
          <w:rFonts w:hint="eastAsia" w:ascii="仿宋" w:hAnsi="仿宋" w:eastAsia="仿宋" w:cs="仿宋"/>
          <w:color w:val="000000"/>
          <w:sz w:val="32"/>
          <w:szCs w:val="32"/>
        </w:rPr>
        <w:t>（北京时间）</w:t>
      </w:r>
    </w:p>
    <w:p w14:paraId="3A5B1A0D">
      <w:pPr>
        <w:pStyle w:val="20"/>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开标形式：</w:t>
      </w:r>
      <w:r>
        <w:rPr>
          <w:rFonts w:hint="eastAsia" w:ascii="仿宋" w:hAnsi="仿宋" w:eastAsia="仿宋" w:cs="仿宋"/>
          <w:color w:val="000000"/>
          <w:sz w:val="32"/>
          <w:szCs w:val="32"/>
          <w:lang w:val="en-US" w:eastAsia="zh-CN"/>
        </w:rPr>
        <w:t>现场</w:t>
      </w:r>
      <w:r>
        <w:rPr>
          <w:rFonts w:hint="eastAsia" w:ascii="仿宋" w:hAnsi="仿宋" w:eastAsia="仿宋" w:cs="仿宋"/>
          <w:color w:val="000000"/>
          <w:sz w:val="32"/>
          <w:szCs w:val="32"/>
        </w:rPr>
        <w:t>开标</w:t>
      </w:r>
    </w:p>
    <w:p w14:paraId="65C528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开标地点：洛阳市新安县产业集聚区万基大厦四楼开标室</w:t>
      </w:r>
    </w:p>
    <w:p w14:paraId="379D75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资质审验及报名截止时间：</w:t>
      </w:r>
      <w:r>
        <w:rPr>
          <w:rFonts w:hint="eastAsia" w:ascii="仿宋" w:hAnsi="仿宋" w:eastAsia="仿宋" w:cs="仿宋"/>
          <w:color w:val="000000"/>
          <w:sz w:val="32"/>
          <w:szCs w:val="32"/>
          <w:lang w:eastAsia="zh-CN"/>
        </w:rPr>
        <w:t>2025年6月16日18:00</w:t>
      </w:r>
    </w:p>
    <w:p w14:paraId="4566B12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商务联系人</w:t>
      </w:r>
      <w:r>
        <w:rPr>
          <w:rFonts w:hint="eastAsia" w:ascii="仿宋" w:hAnsi="仿宋" w:eastAsia="仿宋" w:cs="仿宋"/>
          <w:color w:val="000000"/>
          <w:sz w:val="32"/>
          <w:szCs w:val="32"/>
        </w:rPr>
        <w:t xml:space="preserve">：陈攀涛 </w:t>
      </w:r>
      <w:r>
        <w:rPr>
          <w:rFonts w:hint="eastAsia" w:ascii="仿宋" w:hAnsi="仿宋" w:eastAsia="仿宋" w:cs="仿宋"/>
          <w:color w:val="000000"/>
          <w:sz w:val="32"/>
          <w:szCs w:val="32"/>
          <w:lang w:val="en-US" w:eastAsia="zh-CN"/>
        </w:rPr>
        <w:t xml:space="preserve">            联系方式：</w:t>
      </w:r>
      <w:r>
        <w:rPr>
          <w:rFonts w:hint="eastAsia" w:ascii="仿宋" w:hAnsi="仿宋" w:eastAsia="仿宋" w:cs="仿宋"/>
          <w:color w:val="000000"/>
          <w:sz w:val="32"/>
          <w:szCs w:val="32"/>
        </w:rPr>
        <w:t>15838577312</w:t>
      </w:r>
    </w:p>
    <w:p w14:paraId="1B1EB8B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技术联系人：杨  杰</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联系方式：</w:t>
      </w:r>
      <w:r>
        <w:rPr>
          <w:rFonts w:hint="eastAsia" w:ascii="仿宋" w:hAnsi="仿宋" w:eastAsia="仿宋" w:cs="仿宋"/>
          <w:color w:val="000000"/>
          <w:sz w:val="32"/>
          <w:szCs w:val="32"/>
        </w:rPr>
        <w:t>15236295510</w:t>
      </w:r>
    </w:p>
    <w:p w14:paraId="7B01688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32"/>
          <w:szCs w:val="32"/>
          <w:lang w:val="en-US" w:eastAsia="zh-CN"/>
        </w:rPr>
      </w:pPr>
    </w:p>
    <w:p w14:paraId="0CA579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一、投标须知：</w:t>
      </w:r>
    </w:p>
    <w:p w14:paraId="6C4C1AD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1、标的物：</w:t>
      </w:r>
      <w:r>
        <w:rPr>
          <w:rFonts w:hint="eastAsia" w:ascii="仿宋" w:hAnsi="仿宋" w:eastAsia="仿宋" w:cs="仿宋"/>
          <w:color w:val="000000"/>
          <w:sz w:val="32"/>
          <w:szCs w:val="32"/>
          <w:lang w:val="en-US" w:eastAsia="zh-CN"/>
        </w:rPr>
        <w:t>危险废物物联网系统运维</w:t>
      </w:r>
      <w:r>
        <w:rPr>
          <w:rFonts w:hint="eastAsia" w:ascii="仿宋" w:hAnsi="仿宋" w:eastAsia="仿宋" w:cs="仿宋"/>
          <w:color w:val="000000"/>
          <w:sz w:val="32"/>
          <w:szCs w:val="32"/>
        </w:rPr>
        <w:t>。</w:t>
      </w:r>
    </w:p>
    <w:p w14:paraId="3BC69B8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2、项目概况：本次招标危废仓库物联网监管系统运维共计8个单位，分别为万基发电、一铝（一炭、板锭、铸轧共用）、二铝、二炭、石墨、铝加工、铝钛合金、棒材厂。运维时间统一截止至2027年6月30日。</w:t>
      </w:r>
    </w:p>
    <w:p w14:paraId="2120BD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、投标文件的递交</w:t>
      </w:r>
    </w:p>
    <w:p w14:paraId="3F45671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1）投标人应编制投标文件正本1份和副本</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份，每套投标文件须清楚地标明“正本”或“副本”。若正本和副本不符，以正本为准。投标报价单（见附件）请单独密封，便于唱标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分项报价做入投标文件商务卷</w:t>
      </w:r>
      <w:r>
        <w:rPr>
          <w:rFonts w:hint="eastAsia" w:ascii="仿宋" w:hAnsi="仿宋" w:eastAsia="仿宋" w:cs="仿宋"/>
          <w:color w:val="000000"/>
          <w:sz w:val="32"/>
          <w:szCs w:val="32"/>
        </w:rPr>
        <w:t>。</w:t>
      </w:r>
    </w:p>
    <w:p w14:paraId="30BEBB6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2）投标文件递交的截止时间：</w:t>
      </w:r>
      <w:r>
        <w:rPr>
          <w:rFonts w:hint="eastAsia" w:ascii="仿宋" w:hAnsi="仿宋" w:eastAsia="仿宋" w:cs="仿宋"/>
          <w:color w:val="000000"/>
          <w:sz w:val="32"/>
          <w:szCs w:val="32"/>
          <w:lang w:eastAsia="zh-CN"/>
        </w:rPr>
        <w:t>2025年6月17日10：00</w:t>
      </w:r>
      <w:r>
        <w:rPr>
          <w:rFonts w:hint="eastAsia" w:ascii="仿宋" w:hAnsi="仿宋" w:eastAsia="仿宋" w:cs="仿宋"/>
          <w:color w:val="000000"/>
          <w:sz w:val="32"/>
          <w:szCs w:val="32"/>
        </w:rPr>
        <w:t>（北京时间）</w:t>
      </w:r>
      <w:r>
        <w:rPr>
          <w:rFonts w:hint="eastAsia" w:ascii="仿宋" w:hAnsi="仿宋" w:eastAsia="仿宋" w:cs="仿宋"/>
          <w:color w:val="000000"/>
          <w:sz w:val="32"/>
          <w:szCs w:val="32"/>
          <w:lang w:eastAsia="zh-CN"/>
        </w:rPr>
        <w:t>。</w:t>
      </w:r>
    </w:p>
    <w:p w14:paraId="524F4B0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、资质要求：</w:t>
      </w:r>
    </w:p>
    <w:p w14:paraId="56D55B3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.1、投标单位在中华人民共和国境内注册具有独立承担民事责任能力的法人或其他组织；</w:t>
      </w:r>
    </w:p>
    <w:p w14:paraId="3463976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.2、投标单位具有良好的社会信誉，没有处于被责令停业，没有发生过骗取中标或严重违约及重大质量问题；投标单位财务状况良好，财产没有处于被接管、冻结、破产状态；</w:t>
      </w:r>
    </w:p>
    <w:p w14:paraId="600326C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3、投标单位通过“信用中国”网站（www.creditchina.gov.cn）查询其相关信用记录，并保存网站查询结果截图，对被列入“失信被执行人、重大税收违法失信主体、政府采购严重违法失信行为记录名单”的潜在投标单位，拒绝其参与本项目资格预审活动；</w:t>
      </w:r>
    </w:p>
    <w:p w14:paraId="7A4E57F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.4、投标单位</w:t>
      </w:r>
      <w:r>
        <w:rPr>
          <w:rFonts w:hint="eastAsia" w:ascii="仿宋" w:hAnsi="仿宋" w:eastAsia="仿宋" w:cs="仿宋"/>
          <w:color w:val="000000"/>
          <w:sz w:val="32"/>
          <w:szCs w:val="32"/>
          <w:lang w:val="en-US" w:eastAsia="zh-CN"/>
        </w:rPr>
        <w:t>应</w:t>
      </w:r>
      <w:r>
        <w:rPr>
          <w:rFonts w:hint="eastAsia" w:ascii="仿宋" w:hAnsi="仿宋" w:eastAsia="仿宋" w:cs="仿宋"/>
          <w:color w:val="000000"/>
          <w:sz w:val="32"/>
          <w:szCs w:val="32"/>
        </w:rPr>
        <w:t>提供相关资质证书。</w:t>
      </w:r>
    </w:p>
    <w:p w14:paraId="6015DF2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、资质审查：</w:t>
      </w:r>
    </w:p>
    <w:p w14:paraId="5A0D6F9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.1、本次招标资格审查方式采用资格预审与资格后审相结合的方式，资格后审即在评标过程中的初步评审开始时进行；</w:t>
      </w:r>
    </w:p>
    <w:p w14:paraId="3B888B0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2、未在招标中心备案的投标人，需提供企业法人营业执照（年审过的有效件且必须有标的物经营范围）副本、相关资质许可加盖公章扫描件各一份、法人授权书、法人及投标人身份证复印件一份作资质预审，将资质文件做PDF格式文件发送至邮箱wj_zhaobiaozz@163.com；资质预审截止时间： </w:t>
      </w:r>
      <w:r>
        <w:rPr>
          <w:rFonts w:hint="eastAsia" w:ascii="仿宋" w:hAnsi="仿宋" w:eastAsia="仿宋" w:cs="仿宋"/>
          <w:color w:val="000000"/>
          <w:sz w:val="32"/>
          <w:szCs w:val="32"/>
          <w:lang w:eastAsia="zh-CN"/>
        </w:rPr>
        <w:t>2025年6月16日18:00</w:t>
      </w:r>
      <w:r>
        <w:rPr>
          <w:rFonts w:hint="eastAsia" w:ascii="仿宋" w:hAnsi="仿宋" w:eastAsia="仿宋" w:cs="仿宋"/>
          <w:color w:val="000000"/>
          <w:sz w:val="32"/>
          <w:szCs w:val="32"/>
        </w:rPr>
        <w:t>前，逾期未审者不得参与本次招标。</w:t>
      </w:r>
    </w:p>
    <w:p w14:paraId="719AB1F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、违约：认真阅读招标文件、合同条款、技术</w:t>
      </w:r>
      <w:r>
        <w:rPr>
          <w:rFonts w:hint="eastAsia" w:ascii="仿宋" w:hAnsi="仿宋" w:eastAsia="仿宋" w:cs="仿宋"/>
          <w:color w:val="000000"/>
          <w:sz w:val="32"/>
          <w:szCs w:val="32"/>
          <w:lang w:val="en-US" w:eastAsia="zh-CN"/>
        </w:rPr>
        <w:t>要求</w:t>
      </w:r>
      <w:r>
        <w:rPr>
          <w:rFonts w:hint="eastAsia" w:ascii="仿宋" w:hAnsi="仿宋" w:eastAsia="仿宋" w:cs="仿宋"/>
          <w:color w:val="000000"/>
          <w:sz w:val="32"/>
          <w:szCs w:val="32"/>
        </w:rPr>
        <w:t>，参与投标即视同完全响应（差异表所列内容除外）。中标单位必须严格按照投标文件及投标报价单(价格、付款方式)签订合同及技术协议，否则即为违约；</w:t>
      </w:r>
    </w:p>
    <w:p w14:paraId="745CF2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、评标办法：各投标单位在都能满足招标文件及技术规范需求的情况下，综合评分高、响应招标方付款方式者优先列为中标候选单位；</w:t>
      </w:r>
    </w:p>
    <w:p w14:paraId="245AD73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、供货范围及</w:t>
      </w:r>
      <w:r>
        <w:rPr>
          <w:rFonts w:hint="eastAsia" w:ascii="仿宋" w:hAnsi="仿宋" w:eastAsia="仿宋" w:cs="仿宋"/>
          <w:color w:val="000000"/>
          <w:sz w:val="32"/>
          <w:szCs w:val="32"/>
          <w:lang w:eastAsia="zh-CN"/>
        </w:rPr>
        <w:t>技术规范</w:t>
      </w:r>
      <w:r>
        <w:rPr>
          <w:rFonts w:hint="eastAsia" w:ascii="仿宋" w:hAnsi="仿宋" w:eastAsia="仿宋" w:cs="仿宋"/>
          <w:color w:val="000000"/>
          <w:sz w:val="32"/>
          <w:szCs w:val="32"/>
        </w:rPr>
        <w:t>：详见</w:t>
      </w:r>
      <w:r>
        <w:rPr>
          <w:rFonts w:hint="eastAsia" w:ascii="仿宋" w:hAnsi="仿宋" w:eastAsia="仿宋" w:cs="仿宋"/>
          <w:color w:val="000000"/>
          <w:sz w:val="32"/>
          <w:szCs w:val="32"/>
          <w:lang w:val="en-US" w:eastAsia="zh-CN"/>
        </w:rPr>
        <w:t>技术要求</w:t>
      </w:r>
      <w:r>
        <w:rPr>
          <w:rFonts w:hint="eastAsia" w:ascii="仿宋" w:hAnsi="仿宋" w:eastAsia="仿宋" w:cs="仿宋"/>
          <w:color w:val="000000"/>
          <w:sz w:val="32"/>
          <w:szCs w:val="32"/>
        </w:rPr>
        <w:t>；</w:t>
      </w:r>
    </w:p>
    <w:p w14:paraId="1CA990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、本次招标不接受</w:t>
      </w:r>
      <w:r>
        <w:rPr>
          <w:rFonts w:hint="eastAsia" w:ascii="仿宋" w:hAnsi="仿宋" w:eastAsia="仿宋" w:cs="仿宋"/>
          <w:color w:val="000000"/>
          <w:sz w:val="32"/>
          <w:szCs w:val="32"/>
          <w:lang w:val="en-US" w:eastAsia="zh-CN"/>
        </w:rPr>
        <w:t>联合体投标</w:t>
      </w:r>
      <w:r>
        <w:rPr>
          <w:rFonts w:hint="eastAsia" w:ascii="仿宋" w:hAnsi="仿宋" w:eastAsia="仿宋" w:cs="仿宋"/>
          <w:color w:val="000000"/>
          <w:sz w:val="32"/>
          <w:szCs w:val="32"/>
        </w:rPr>
        <w:t>；</w:t>
      </w:r>
    </w:p>
    <w:p w14:paraId="440565DD">
      <w:pPr>
        <w:pStyle w:val="20"/>
        <w:keepNext w:val="0"/>
        <w:keepLines w:val="0"/>
        <w:pageBreakBefore w:val="0"/>
        <w:widowControl w:val="0"/>
        <w:kinsoku/>
        <w:wordWrap/>
        <w:overflowPunct/>
        <w:topLinePunct w:val="0"/>
        <w:autoSpaceDE/>
        <w:autoSpaceDN/>
        <w:bidi w:val="0"/>
        <w:adjustRightInd/>
        <w:snapToGrid/>
        <w:spacing w:after="0" w:line="480" w:lineRule="exact"/>
        <w:ind w:firstLine="2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、投标单位需提供近三年同类</w:t>
      </w:r>
      <w:r>
        <w:rPr>
          <w:rFonts w:hint="eastAsia" w:ascii="仿宋" w:hAnsi="仿宋" w:eastAsia="仿宋" w:cs="仿宋"/>
          <w:color w:val="000000"/>
          <w:sz w:val="32"/>
          <w:szCs w:val="32"/>
          <w:lang w:val="en-US" w:eastAsia="zh-CN"/>
        </w:rPr>
        <w:t>运维</w:t>
      </w:r>
      <w:r>
        <w:rPr>
          <w:rFonts w:hint="eastAsia" w:ascii="仿宋" w:hAnsi="仿宋" w:eastAsia="仿宋" w:cs="仿宋"/>
          <w:color w:val="000000"/>
          <w:sz w:val="32"/>
          <w:szCs w:val="32"/>
        </w:rPr>
        <w:t>业绩合同，不少于三份。</w:t>
      </w:r>
    </w:p>
    <w:p w14:paraId="5424473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、解决招标纠纷的方式：双方友好协商；协商不成，提交招标方所在地有管辖权的人民法院裁决。</w:t>
      </w:r>
    </w:p>
    <w:p w14:paraId="1FF35176">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color w:val="000000"/>
          <w:sz w:val="32"/>
          <w:szCs w:val="32"/>
          <w:lang w:val="en-US" w:eastAsia="zh-CN"/>
        </w:rPr>
        <w:t>12、投标人在本次投标中若发现违规违纪问题可直接向招标单位纪委举报，举报电话：0379-67333039。</w:t>
      </w:r>
    </w:p>
    <w:p w14:paraId="6A03B25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p>
    <w:p w14:paraId="74A77218">
      <w:pPr>
        <w:spacing w:line="4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二、投标文件</w:t>
      </w:r>
    </w:p>
    <w:p w14:paraId="0D0365F9">
      <w:pPr>
        <w:spacing w:line="460" w:lineRule="exact"/>
        <w:ind w:firstLine="564"/>
        <w:rPr>
          <w:rFonts w:hint="eastAsia" w:ascii="仿宋" w:hAnsi="仿宋" w:eastAsia="仿宋" w:cs="仿宋"/>
          <w:b/>
          <w:bCs/>
          <w:sz w:val="32"/>
          <w:szCs w:val="32"/>
        </w:rPr>
      </w:pPr>
      <w:r>
        <w:rPr>
          <w:rFonts w:hint="eastAsia" w:ascii="仿宋" w:hAnsi="仿宋" w:eastAsia="仿宋" w:cs="仿宋"/>
          <w:b/>
          <w:bCs/>
          <w:sz w:val="32"/>
          <w:szCs w:val="32"/>
        </w:rPr>
        <w:t xml:space="preserve">1 、投标文件的组成 </w:t>
      </w:r>
    </w:p>
    <w:p w14:paraId="4F3D35AF">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 投标文件由三卷组成（第一卷为商务部分；第二卷为技术部分；第三卷为技术服务和设计联络部分）,格式见招标文件及其附件，具体内容如下：</w:t>
      </w:r>
    </w:p>
    <w:p w14:paraId="49264667">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1.1.1.、投标人承诺函</w:t>
      </w:r>
    </w:p>
    <w:p w14:paraId="3A1F53A2">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1.1.2、投标人法定代表人授权书（法定代表人必须签字并签章）</w:t>
      </w:r>
    </w:p>
    <w:p w14:paraId="74547985">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1.1.3、投标人廉政承诺书</w:t>
      </w:r>
    </w:p>
    <w:p w14:paraId="12BEFE77">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1.1.4、投标人资格、资信证明文件，其中包括：</w:t>
      </w:r>
    </w:p>
    <w:p w14:paraId="500313C4">
      <w:pPr>
        <w:spacing w:line="46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I.关于投标人资格的声明函；</w:t>
      </w:r>
    </w:p>
    <w:p w14:paraId="2ABC95FC">
      <w:pPr>
        <w:spacing w:line="460" w:lineRule="exact"/>
        <w:ind w:left="0" w:leftChars="0" w:firstLine="1257" w:firstLineChars="393"/>
        <w:rPr>
          <w:rFonts w:hint="eastAsia" w:ascii="仿宋" w:hAnsi="仿宋" w:eastAsia="仿宋" w:cs="仿宋"/>
          <w:color w:val="000000"/>
          <w:sz w:val="32"/>
          <w:szCs w:val="32"/>
        </w:rPr>
      </w:pPr>
      <w:r>
        <w:rPr>
          <w:rFonts w:hint="eastAsia" w:ascii="仿宋" w:hAnsi="仿宋" w:eastAsia="仿宋" w:cs="仿宋"/>
          <w:color w:val="000000"/>
          <w:sz w:val="32"/>
          <w:szCs w:val="32"/>
        </w:rPr>
        <w:t>II.企业法人营业执照（复印件加盖企业红章）；</w:t>
      </w:r>
    </w:p>
    <w:p w14:paraId="236AD684">
      <w:pPr>
        <w:spacing w:line="46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III.业绩及目前正在执行合同情况；</w:t>
      </w:r>
    </w:p>
    <w:p w14:paraId="0A24F252">
      <w:pPr>
        <w:spacing w:line="460" w:lineRule="exact"/>
        <w:ind w:firstLine="1280" w:firstLineChars="4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IV.其它文件和资料</w:t>
      </w:r>
      <w:r>
        <w:rPr>
          <w:rFonts w:hint="eastAsia" w:ascii="仿宋" w:hAnsi="仿宋" w:eastAsia="仿宋" w:cs="仿宋"/>
          <w:color w:val="000000"/>
          <w:sz w:val="32"/>
          <w:szCs w:val="32"/>
          <w:lang w:val="en-US" w:eastAsia="zh-CN"/>
        </w:rPr>
        <w:t>；</w:t>
      </w:r>
    </w:p>
    <w:p w14:paraId="0ECD50F0">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1.1.5 投标人所作的一切有效补充、修改文件，均被视为投标文件不可分割的部分。</w:t>
      </w:r>
    </w:p>
    <w:p w14:paraId="1ECF9CE1">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 投标文件的编制</w:t>
      </w:r>
    </w:p>
    <w:p w14:paraId="659B7A1A">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1.2.1 一般要求</w:t>
      </w:r>
    </w:p>
    <w:p w14:paraId="2FA7876F">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E1257FA">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1.2.2 投标有效期</w:t>
      </w:r>
    </w:p>
    <w:p w14:paraId="74980C17">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投标文件从开标之日起，投标有效期为</w:t>
      </w:r>
      <w:r>
        <w:rPr>
          <w:rFonts w:hint="eastAsia" w:ascii="仿宋" w:hAnsi="仿宋" w:eastAsia="仿宋" w:cs="仿宋"/>
          <w:color w:val="000000"/>
          <w:sz w:val="32"/>
          <w:szCs w:val="32"/>
          <w:lang w:val="en-US" w:eastAsia="zh-CN"/>
        </w:rPr>
        <w:t>365</w:t>
      </w:r>
      <w:r>
        <w:rPr>
          <w:rFonts w:hint="eastAsia" w:ascii="仿宋" w:hAnsi="仿宋" w:eastAsia="仿宋" w:cs="仿宋"/>
          <w:color w:val="000000"/>
          <w:sz w:val="32"/>
          <w:szCs w:val="32"/>
        </w:rPr>
        <w:t>天。</w:t>
      </w:r>
    </w:p>
    <w:p w14:paraId="55D5A167">
      <w:pPr>
        <w:spacing w:line="4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1.2.3 投标保证金</w:t>
      </w:r>
    </w:p>
    <w:p w14:paraId="522F960D">
      <w:pPr>
        <w:spacing w:line="4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投标保证金（人民币：</w:t>
      </w:r>
      <w:r>
        <w:rPr>
          <w:rFonts w:hint="eastAsia" w:ascii="仿宋" w:hAnsi="仿宋" w:eastAsia="仿宋" w:cs="仿宋"/>
          <w:b w:val="0"/>
          <w:bCs w:val="0"/>
          <w:color w:val="auto"/>
          <w:sz w:val="32"/>
          <w:szCs w:val="32"/>
          <w:lang w:val="en-US" w:eastAsia="zh-CN"/>
        </w:rPr>
        <w:t>伍仟</w:t>
      </w:r>
      <w:r>
        <w:rPr>
          <w:rFonts w:hint="eastAsia" w:ascii="仿宋" w:hAnsi="仿宋" w:eastAsia="仿宋" w:cs="仿宋"/>
          <w:b w:val="0"/>
          <w:bCs w:val="0"/>
          <w:color w:val="auto"/>
          <w:sz w:val="32"/>
          <w:szCs w:val="32"/>
        </w:rPr>
        <w:t>元整     ¥：</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 xml:space="preserve">000元） </w:t>
      </w:r>
    </w:p>
    <w:p w14:paraId="0B8D5A7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投标保证金交纳时间：</w:t>
      </w:r>
      <w:r>
        <w:rPr>
          <w:rFonts w:hint="eastAsia" w:ascii="仿宋" w:hAnsi="仿宋" w:eastAsia="仿宋" w:cs="仿宋"/>
          <w:color w:val="000000"/>
          <w:sz w:val="32"/>
          <w:szCs w:val="32"/>
          <w:lang w:eastAsia="zh-CN"/>
        </w:rPr>
        <w:t>2025年6月16日18:00</w:t>
      </w:r>
      <w:r>
        <w:rPr>
          <w:rFonts w:hint="eastAsia" w:ascii="仿宋" w:hAnsi="仿宋" w:eastAsia="仿宋" w:cs="仿宋"/>
          <w:b w:val="0"/>
          <w:bCs w:val="0"/>
          <w:color w:val="auto"/>
          <w:sz w:val="32"/>
          <w:szCs w:val="32"/>
        </w:rPr>
        <w:t>时（北京时间）前到账，投标截止时间之后递交的投标保证金将被拒绝。公对公电汇转账方式缴纳（不接受现金及个人转账）。 最终以</w:t>
      </w:r>
      <w:r>
        <w:rPr>
          <w:rFonts w:hint="eastAsia" w:ascii="仿宋" w:hAnsi="仿宋" w:eastAsia="仿宋" w:cs="仿宋"/>
          <w:b w:val="0"/>
          <w:bCs w:val="0"/>
          <w:color w:val="auto"/>
          <w:sz w:val="32"/>
          <w:szCs w:val="32"/>
          <w:lang w:val="en-US" w:eastAsia="zh-CN"/>
        </w:rPr>
        <w:t>万基控股集团有限公司</w:t>
      </w:r>
      <w:r>
        <w:rPr>
          <w:rFonts w:hint="eastAsia" w:ascii="仿宋" w:hAnsi="仿宋" w:eastAsia="仿宋" w:cs="仿宋"/>
          <w:b w:val="0"/>
          <w:bCs w:val="0"/>
          <w:color w:val="auto"/>
          <w:sz w:val="32"/>
          <w:szCs w:val="32"/>
        </w:rPr>
        <w:t>财务所开收到凭证为准。</w:t>
      </w:r>
    </w:p>
    <w:p w14:paraId="35C713ED">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招标人指定的投标保证金的接收单位：</w:t>
      </w:r>
    </w:p>
    <w:p w14:paraId="5138ACF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单位名称：</w:t>
      </w:r>
      <w:r>
        <w:rPr>
          <w:rFonts w:hint="eastAsia" w:ascii="仿宋" w:hAnsi="仿宋" w:eastAsia="仿宋" w:cs="仿宋"/>
          <w:sz w:val="32"/>
          <w:szCs w:val="32"/>
          <w:lang w:val="en-US" w:eastAsia="zh-CN"/>
        </w:rPr>
        <w:t>万基控股集团</w:t>
      </w:r>
      <w:r>
        <w:rPr>
          <w:rFonts w:hint="eastAsia" w:ascii="仿宋" w:hAnsi="仿宋" w:eastAsia="仿宋" w:cs="仿宋"/>
          <w:sz w:val="32"/>
          <w:szCs w:val="32"/>
        </w:rPr>
        <w:t>有限公司</w:t>
      </w:r>
    </w:p>
    <w:p w14:paraId="713EB503">
      <w:pPr>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开 户 行：</w:t>
      </w:r>
      <w:r>
        <w:rPr>
          <w:rFonts w:hint="eastAsia" w:ascii="仿宋" w:hAnsi="仿宋" w:eastAsia="仿宋" w:cs="仿宋"/>
          <w:sz w:val="32"/>
          <w:szCs w:val="32"/>
          <w:lang w:val="en-US" w:eastAsia="zh-CN"/>
        </w:rPr>
        <w:t>建行新安县支行</w:t>
      </w:r>
    </w:p>
    <w:p w14:paraId="2BD712C9">
      <w:pPr>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账    号：41001592110050000632</w:t>
      </w:r>
    </w:p>
    <w:p w14:paraId="4A120365">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保证金退还：</w:t>
      </w:r>
    </w:p>
    <w:p w14:paraId="4AAC124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未中标的投标人的投标保证金，将在招标机构发出《中标通知书》后</w:t>
      </w:r>
      <w:r>
        <w:rPr>
          <w:rFonts w:hint="eastAsia" w:ascii="仿宋" w:hAnsi="仿宋" w:eastAsia="仿宋" w:cs="仿宋"/>
          <w:sz w:val="32"/>
          <w:szCs w:val="32"/>
          <w:lang w:val="en-US" w:eastAsia="zh-CN"/>
        </w:rPr>
        <w:t>7</w:t>
      </w:r>
      <w:r>
        <w:rPr>
          <w:rFonts w:hint="eastAsia" w:ascii="仿宋" w:hAnsi="仿宋" w:eastAsia="仿宋" w:cs="仿宋"/>
          <w:sz w:val="32"/>
          <w:szCs w:val="32"/>
        </w:rPr>
        <w:t>日内予以无息退还。</w:t>
      </w:r>
    </w:p>
    <w:p w14:paraId="7A75C368">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中标人的投标保证金，在签订了合同且满足履约条件后，招标机构将通过投标单位账户全额无息退还。</w:t>
      </w:r>
    </w:p>
    <w:p w14:paraId="1AC7E71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发生以下情况之一者，投标保证金将不予退还：</w:t>
      </w:r>
    </w:p>
    <w:p w14:paraId="7FCBF83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1.2.3.1.投标人在投标报价有效期内撤回、修改其投标报价（含报价说明）；</w:t>
      </w:r>
    </w:p>
    <w:p w14:paraId="65A716CF">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1.2.3.2. 投标人以他人名义投标、相互串通投标或者以其他方式弄虚作假的，投标人提交虚假资料或失实资料；</w:t>
      </w:r>
    </w:p>
    <w:p w14:paraId="3FEE6495">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1.2.3.3.投标人被通知中标后，拒绝在规定时间按报价及招标文件要求签订技术协议及商务合同；</w:t>
      </w:r>
    </w:p>
    <w:p w14:paraId="6FC9D72C">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1.2.3.4. 投标人违反纪律与保密的有关规定；</w:t>
      </w:r>
    </w:p>
    <w:p w14:paraId="50D720A8">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1.2.3.5.若中标人违约，则该笔保证金将予以扣除，并将投标人列入信用黑名单。</w:t>
      </w:r>
    </w:p>
    <w:p w14:paraId="7DB7BF1B">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1.2.4 投标人建议</w:t>
      </w:r>
    </w:p>
    <w:p w14:paraId="7173925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投标人可提出补充建议或说明，提出比招标文件的要求更为合理的建议方案，列于附件中。同时应说明对技术条件、价格、运行、维护、检修、安装等方面的影响。</w:t>
      </w:r>
    </w:p>
    <w:p w14:paraId="6FE282AD">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1.2.5 报价表应由投标人代表签名并加盖公章。</w:t>
      </w:r>
    </w:p>
    <w:p w14:paraId="74EF4ECF">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 投标报价</w:t>
      </w:r>
    </w:p>
    <w:p w14:paraId="6D83698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1.3.1 投标人应严格按照报价表格式认真填写价格表。</w:t>
      </w:r>
    </w:p>
    <w:p w14:paraId="5AE0ABB2">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1.3.2 投标人的报价在中标后在合同有效期内价格固定不变。</w:t>
      </w:r>
    </w:p>
    <w:p w14:paraId="561DB89E">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1.3.4 投标报价应注明有效期，有效期应与投标有效期相一致。</w:t>
      </w:r>
    </w:p>
    <w:p w14:paraId="0159DC45">
      <w:pPr>
        <w:spacing w:line="460" w:lineRule="exact"/>
        <w:ind w:firstLine="656" w:firstLineChars="2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 xml:space="preserve"> 无效投标</w:t>
      </w:r>
    </w:p>
    <w:p w14:paraId="4E3CEBC2">
      <w:pPr>
        <w:spacing w:line="460" w:lineRule="exact"/>
        <w:ind w:firstLine="656" w:firstLineChars="2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发生下列情况之一者，视为无效投标：</w:t>
      </w:r>
    </w:p>
    <w:p w14:paraId="541000DD">
      <w:pPr>
        <w:spacing w:line="460" w:lineRule="exact"/>
        <w:ind w:firstLine="656" w:firstLineChars="2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   评标过程中，有下列情形之一者，应予废标：</w:t>
      </w:r>
    </w:p>
    <w:p w14:paraId="51C746E2">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.1.1  投标人及其制造商与招标人、招标机构有利害关系的。</w:t>
      </w:r>
    </w:p>
    <w:p w14:paraId="2863AC77">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.1.2  投标人的投标书、资格证明未提供或不符合招标文件的要求。</w:t>
      </w:r>
    </w:p>
    <w:p w14:paraId="2D59AB0F">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.1.3  投标文件无法定代表人签字或签字人无法定代表人有效授权书的。</w:t>
      </w:r>
    </w:p>
    <w:p w14:paraId="2AC456AC">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.1.4  投标人业绩不能满足招标文件的要求。</w:t>
      </w:r>
    </w:p>
    <w:p w14:paraId="22CC1600">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.1.5  投标文件符合招标文件中规定废标的其他商务条款。</w:t>
      </w:r>
    </w:p>
    <w:p w14:paraId="1BA177D8">
      <w:pPr>
        <w:pStyle w:val="3"/>
        <w:spacing w:before="0" w:after="0" w:line="460" w:lineRule="exact"/>
        <w:ind w:firstLine="643" w:firstLineChars="200"/>
        <w:rPr>
          <w:rFonts w:hint="eastAsia" w:ascii="仿宋" w:hAnsi="仿宋" w:eastAsia="仿宋" w:cs="仿宋"/>
          <w:sz w:val="32"/>
          <w:szCs w:val="32"/>
        </w:rPr>
      </w:pPr>
      <w:r>
        <w:rPr>
          <w:rFonts w:hint="eastAsia" w:ascii="仿宋" w:hAnsi="仿宋" w:eastAsia="仿宋" w:cs="仿宋"/>
          <w:sz w:val="32"/>
          <w:szCs w:val="32"/>
        </w:rPr>
        <w:t>2 、评标办法</w:t>
      </w:r>
    </w:p>
    <w:p w14:paraId="3EE9CB49">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 投标文件的澄清</w:t>
      </w:r>
    </w:p>
    <w:p w14:paraId="173050A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开标以后，招标人可针对投标文件的内容要求投标人澄清，澄清问题一般以书面澄清的形式进行。由招标人提出的需要澄清的问题，并整理出书面资料（有投标代表签字、投标人公章、日期等），形成投标文件的有效补充。</w:t>
      </w:r>
    </w:p>
    <w:p w14:paraId="7F1032BA">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澄清不得对原投标文件作实质性修改。</w:t>
      </w:r>
    </w:p>
    <w:p w14:paraId="0EEAD689">
      <w:pPr>
        <w:spacing w:line="460" w:lineRule="exact"/>
        <w:outlineLvl w:val="0"/>
        <w:rPr>
          <w:rFonts w:hint="eastAsia" w:ascii="仿宋" w:hAnsi="仿宋" w:eastAsia="仿宋" w:cs="仿宋"/>
          <w:sz w:val="32"/>
          <w:szCs w:val="32"/>
        </w:rPr>
      </w:pPr>
      <w:r>
        <w:rPr>
          <w:rFonts w:hint="eastAsia" w:ascii="仿宋" w:hAnsi="仿宋" w:eastAsia="仿宋" w:cs="仿宋"/>
          <w:sz w:val="32"/>
          <w:szCs w:val="32"/>
        </w:rPr>
        <w:t xml:space="preserve">    2.2 评标办法</w:t>
      </w:r>
    </w:p>
    <w:p w14:paraId="402B4D00">
      <w:pPr>
        <w:spacing w:line="46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2.2.1、评标小组全体成员对每个投标人进行审查、评比、评分，综合评分高者推荐为中标候选人。</w:t>
      </w:r>
    </w:p>
    <w:p w14:paraId="4A1867A4">
      <w:pPr>
        <w:spacing w:line="46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2.2.2、</w:t>
      </w:r>
      <w:r>
        <w:rPr>
          <w:rFonts w:hint="eastAsia" w:ascii="仿宋" w:hAnsi="仿宋" w:eastAsia="仿宋" w:cs="仿宋"/>
          <w:sz w:val="32"/>
          <w:szCs w:val="32"/>
          <w:lang w:val="en-US" w:eastAsia="zh-CN"/>
        </w:rPr>
        <w:t>当评分相同时，</w:t>
      </w:r>
      <w:r>
        <w:rPr>
          <w:rFonts w:hint="eastAsia" w:ascii="仿宋" w:hAnsi="仿宋" w:eastAsia="仿宋" w:cs="仿宋"/>
          <w:sz w:val="32"/>
          <w:szCs w:val="32"/>
        </w:rPr>
        <w:t>评标价格低且技术优势高者优先；当评标价格相同而技术优势不同时，技术优势高者优先；当评标价格不同而技术优势相同时，评标价格低者优先。</w:t>
      </w:r>
    </w:p>
    <w:p w14:paraId="34F40F56">
      <w:pPr>
        <w:spacing w:line="46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2.2.3、评标活动中发现有争议的内容时，按照少数服从多数的原则，由评标小组确定。</w:t>
      </w:r>
    </w:p>
    <w:p w14:paraId="7ED3719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2.3评分标准</w:t>
      </w:r>
    </w:p>
    <w:p w14:paraId="24D5B305">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2.3.1评标价格 得分 40分</w:t>
      </w:r>
    </w:p>
    <w:p w14:paraId="4EAA634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各投标人的评标价格得分按以下公式计算：</w:t>
      </w:r>
    </w:p>
    <w:p w14:paraId="6620405A">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C＝40-</w:t>
      </w: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×（P-PMIN）/（PMAX-PMIN） </w:t>
      </w:r>
    </w:p>
    <w:p w14:paraId="427F7864">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C：投标人的评标价格得分。</w:t>
      </w:r>
    </w:p>
    <w:p w14:paraId="568030BD">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P：评标价格。</w:t>
      </w:r>
    </w:p>
    <w:p w14:paraId="7A5152C4">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PMIN：该包中最低评标价格。</w:t>
      </w:r>
    </w:p>
    <w:p w14:paraId="5AA594BF">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PMAX：该包中最高评标价格。</w:t>
      </w:r>
    </w:p>
    <w:p w14:paraId="2C7BE1F4">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经评标委员会全体认定低于成本价的投标，将被废标。其报价不作为评分依据。</w:t>
      </w:r>
    </w:p>
    <w:p w14:paraId="1EE7BDE1">
      <w:pPr>
        <w:spacing w:line="460" w:lineRule="exact"/>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2.3.2、商务部分  20分</w:t>
      </w:r>
    </w:p>
    <w:p w14:paraId="78E939C4">
      <w:pPr>
        <w:ind w:firstLine="643" w:firstLineChars="200"/>
        <w:jc w:val="center"/>
        <w:rPr>
          <w:rFonts w:hint="eastAsia" w:ascii="宋体" w:hAnsi="宋体" w:eastAsia="宋体" w:cs="宋体"/>
          <w:sz w:val="32"/>
          <w:szCs w:val="32"/>
        </w:rPr>
      </w:pPr>
      <w:r>
        <w:rPr>
          <w:rFonts w:hint="eastAsia" w:ascii="宋体" w:hAnsi="宋体" w:eastAsia="宋体" w:cs="宋体"/>
          <w:b/>
          <w:sz w:val="32"/>
          <w:szCs w:val="32"/>
        </w:rPr>
        <w:t>商务部分评分表（20分）</w:t>
      </w:r>
    </w:p>
    <w:tbl>
      <w:tblPr>
        <w:tblStyle w:val="2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98"/>
        <w:gridCol w:w="899"/>
        <w:gridCol w:w="5695"/>
        <w:gridCol w:w="1045"/>
      </w:tblGrid>
      <w:tr w14:paraId="7D85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81" w:type="dxa"/>
            <w:noWrap w:val="0"/>
            <w:vAlign w:val="center"/>
          </w:tcPr>
          <w:p w14:paraId="5709A606">
            <w:pPr>
              <w:adjustRightInd w:val="0"/>
              <w:snapToGrid w:val="0"/>
              <w:spacing w:line="300" w:lineRule="exact"/>
              <w:jc w:val="center"/>
              <w:rPr>
                <w:rFonts w:hint="eastAsia" w:ascii="仿宋" w:hAnsi="仿宋" w:eastAsia="仿宋"/>
                <w:b/>
                <w:szCs w:val="21"/>
              </w:rPr>
            </w:pPr>
            <w:r>
              <w:rPr>
                <w:rFonts w:hint="eastAsia" w:ascii="仿宋" w:hAnsi="仿宋" w:eastAsia="仿宋"/>
                <w:b/>
                <w:szCs w:val="21"/>
              </w:rPr>
              <w:t>序号</w:t>
            </w:r>
          </w:p>
        </w:tc>
        <w:tc>
          <w:tcPr>
            <w:tcW w:w="1498" w:type="dxa"/>
            <w:noWrap w:val="0"/>
            <w:vAlign w:val="center"/>
          </w:tcPr>
          <w:p w14:paraId="1C7C2E95">
            <w:pPr>
              <w:adjustRightInd w:val="0"/>
              <w:snapToGrid w:val="0"/>
              <w:spacing w:line="300" w:lineRule="exact"/>
              <w:jc w:val="center"/>
              <w:rPr>
                <w:rFonts w:hint="eastAsia" w:ascii="仿宋" w:hAnsi="仿宋" w:eastAsia="仿宋"/>
                <w:b/>
                <w:szCs w:val="21"/>
              </w:rPr>
            </w:pPr>
            <w:r>
              <w:rPr>
                <w:rFonts w:hint="eastAsia" w:ascii="仿宋" w:hAnsi="仿宋" w:eastAsia="仿宋"/>
                <w:b/>
                <w:szCs w:val="21"/>
              </w:rPr>
              <w:t>项目</w:t>
            </w:r>
          </w:p>
        </w:tc>
        <w:tc>
          <w:tcPr>
            <w:tcW w:w="899" w:type="dxa"/>
            <w:noWrap w:val="0"/>
            <w:vAlign w:val="center"/>
          </w:tcPr>
          <w:p w14:paraId="5F814AF2">
            <w:pPr>
              <w:adjustRightInd w:val="0"/>
              <w:snapToGrid w:val="0"/>
              <w:spacing w:line="300" w:lineRule="exact"/>
              <w:jc w:val="center"/>
              <w:rPr>
                <w:rFonts w:hint="eastAsia" w:ascii="仿宋" w:hAnsi="仿宋" w:eastAsia="仿宋"/>
                <w:b/>
                <w:szCs w:val="21"/>
              </w:rPr>
            </w:pPr>
            <w:r>
              <w:rPr>
                <w:rFonts w:hint="eastAsia" w:ascii="仿宋" w:hAnsi="仿宋" w:eastAsia="仿宋"/>
                <w:b/>
                <w:szCs w:val="21"/>
              </w:rPr>
              <w:t>标准分</w:t>
            </w:r>
          </w:p>
        </w:tc>
        <w:tc>
          <w:tcPr>
            <w:tcW w:w="5695" w:type="dxa"/>
            <w:noWrap w:val="0"/>
            <w:vAlign w:val="center"/>
          </w:tcPr>
          <w:p w14:paraId="0891FC01">
            <w:pPr>
              <w:adjustRightInd w:val="0"/>
              <w:snapToGrid w:val="0"/>
              <w:spacing w:line="300" w:lineRule="exact"/>
              <w:jc w:val="center"/>
              <w:rPr>
                <w:rFonts w:hint="eastAsia" w:ascii="仿宋" w:hAnsi="仿宋" w:eastAsia="仿宋"/>
                <w:b/>
                <w:szCs w:val="21"/>
              </w:rPr>
            </w:pPr>
            <w:r>
              <w:rPr>
                <w:rFonts w:hint="eastAsia" w:ascii="仿宋" w:hAnsi="仿宋" w:eastAsia="仿宋"/>
                <w:b/>
                <w:szCs w:val="21"/>
              </w:rPr>
              <w:t>评分标准</w:t>
            </w:r>
          </w:p>
        </w:tc>
        <w:tc>
          <w:tcPr>
            <w:tcW w:w="1045" w:type="dxa"/>
            <w:noWrap w:val="0"/>
            <w:vAlign w:val="center"/>
          </w:tcPr>
          <w:p w14:paraId="63B29553">
            <w:pPr>
              <w:adjustRightInd w:val="0"/>
              <w:snapToGrid w:val="0"/>
              <w:spacing w:line="300" w:lineRule="exact"/>
              <w:jc w:val="center"/>
              <w:rPr>
                <w:rFonts w:hint="eastAsia" w:ascii="仿宋" w:hAnsi="仿宋" w:eastAsia="仿宋"/>
                <w:b/>
                <w:szCs w:val="21"/>
              </w:rPr>
            </w:pPr>
            <w:r>
              <w:rPr>
                <w:rFonts w:hint="eastAsia" w:ascii="仿宋" w:hAnsi="仿宋" w:eastAsia="仿宋"/>
                <w:b/>
                <w:szCs w:val="21"/>
              </w:rPr>
              <w:t>分值</w:t>
            </w:r>
          </w:p>
        </w:tc>
      </w:tr>
      <w:tr w14:paraId="301A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781" w:type="dxa"/>
            <w:noWrap w:val="0"/>
            <w:vAlign w:val="center"/>
          </w:tcPr>
          <w:p w14:paraId="14A77EF0">
            <w:pPr>
              <w:spacing w:line="400" w:lineRule="exact"/>
              <w:jc w:val="center"/>
              <w:rPr>
                <w:rFonts w:hint="eastAsia" w:ascii="仿宋" w:hAnsi="仿宋" w:eastAsia="仿宋"/>
                <w:sz w:val="28"/>
                <w:szCs w:val="28"/>
              </w:rPr>
            </w:pPr>
            <w:r>
              <w:rPr>
                <w:rFonts w:hint="eastAsia" w:ascii="仿宋" w:hAnsi="仿宋" w:eastAsia="仿宋"/>
                <w:sz w:val="28"/>
                <w:szCs w:val="28"/>
              </w:rPr>
              <w:t>1</w:t>
            </w:r>
          </w:p>
        </w:tc>
        <w:tc>
          <w:tcPr>
            <w:tcW w:w="1498" w:type="dxa"/>
            <w:noWrap w:val="0"/>
            <w:vAlign w:val="center"/>
          </w:tcPr>
          <w:p w14:paraId="25550FC0">
            <w:pPr>
              <w:spacing w:line="400" w:lineRule="exact"/>
              <w:rPr>
                <w:rFonts w:hint="eastAsia" w:ascii="仿宋" w:hAnsi="仿宋" w:eastAsia="仿宋"/>
                <w:sz w:val="28"/>
                <w:szCs w:val="28"/>
              </w:rPr>
            </w:pPr>
            <w:r>
              <w:rPr>
                <w:rFonts w:hint="eastAsia" w:ascii="仿宋" w:hAnsi="仿宋" w:eastAsia="仿宋"/>
                <w:sz w:val="28"/>
                <w:szCs w:val="28"/>
              </w:rPr>
              <w:t>投标文件的完整性</w:t>
            </w:r>
          </w:p>
        </w:tc>
        <w:tc>
          <w:tcPr>
            <w:tcW w:w="899" w:type="dxa"/>
            <w:noWrap w:val="0"/>
            <w:vAlign w:val="center"/>
          </w:tcPr>
          <w:p w14:paraId="488E0694">
            <w:pPr>
              <w:spacing w:line="400" w:lineRule="exact"/>
              <w:rPr>
                <w:rFonts w:hint="eastAsia" w:ascii="仿宋" w:hAnsi="仿宋" w:eastAsia="仿宋"/>
                <w:sz w:val="28"/>
                <w:szCs w:val="28"/>
              </w:rPr>
            </w:pPr>
            <w:r>
              <w:rPr>
                <w:rFonts w:hint="eastAsia" w:ascii="仿宋" w:hAnsi="仿宋" w:eastAsia="仿宋"/>
                <w:sz w:val="28"/>
                <w:szCs w:val="28"/>
              </w:rPr>
              <w:t>3分</w:t>
            </w:r>
          </w:p>
        </w:tc>
        <w:tc>
          <w:tcPr>
            <w:tcW w:w="5695" w:type="dxa"/>
            <w:noWrap w:val="0"/>
            <w:vAlign w:val="center"/>
          </w:tcPr>
          <w:p w14:paraId="3C46AF7F">
            <w:pPr>
              <w:spacing w:line="400" w:lineRule="exact"/>
              <w:rPr>
                <w:rFonts w:hint="eastAsia" w:ascii="仿宋" w:hAnsi="仿宋" w:eastAsia="仿宋"/>
                <w:sz w:val="28"/>
                <w:szCs w:val="28"/>
              </w:rPr>
            </w:pPr>
            <w:r>
              <w:rPr>
                <w:rFonts w:hint="eastAsia" w:ascii="仿宋" w:hAnsi="仿宋" w:eastAsia="仿宋"/>
                <w:sz w:val="28"/>
                <w:szCs w:val="28"/>
              </w:rPr>
              <w:t>由评标小组根据投标人投标文件编制总体情况</w:t>
            </w:r>
          </w:p>
        </w:tc>
        <w:tc>
          <w:tcPr>
            <w:tcW w:w="1045" w:type="dxa"/>
            <w:noWrap w:val="0"/>
            <w:vAlign w:val="center"/>
          </w:tcPr>
          <w:p w14:paraId="4F59074A">
            <w:pPr>
              <w:spacing w:line="400" w:lineRule="exact"/>
              <w:rPr>
                <w:rFonts w:hint="eastAsia" w:ascii="仿宋" w:hAnsi="仿宋" w:eastAsia="仿宋"/>
                <w:sz w:val="28"/>
                <w:szCs w:val="28"/>
              </w:rPr>
            </w:pPr>
            <w:r>
              <w:rPr>
                <w:rFonts w:hint="eastAsia" w:ascii="仿宋" w:hAnsi="仿宋" w:eastAsia="仿宋"/>
                <w:sz w:val="28"/>
                <w:szCs w:val="28"/>
              </w:rPr>
              <w:t>0-3分</w:t>
            </w:r>
          </w:p>
        </w:tc>
      </w:tr>
      <w:tr w14:paraId="13BA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781" w:type="dxa"/>
            <w:noWrap w:val="0"/>
            <w:vAlign w:val="center"/>
          </w:tcPr>
          <w:p w14:paraId="350689CC">
            <w:pPr>
              <w:adjustRightInd w:val="0"/>
              <w:snapToGrid w:val="0"/>
              <w:spacing w:line="300" w:lineRule="exact"/>
              <w:jc w:val="center"/>
              <w:rPr>
                <w:rFonts w:hint="eastAsia" w:ascii="仿宋" w:hAnsi="仿宋" w:eastAsia="仿宋"/>
              </w:rPr>
            </w:pPr>
            <w:r>
              <w:rPr>
                <w:rFonts w:hint="eastAsia" w:ascii="仿宋" w:hAnsi="仿宋" w:eastAsia="仿宋"/>
              </w:rPr>
              <w:t>2</w:t>
            </w:r>
          </w:p>
        </w:tc>
        <w:tc>
          <w:tcPr>
            <w:tcW w:w="1498" w:type="dxa"/>
            <w:noWrap w:val="0"/>
            <w:vAlign w:val="center"/>
          </w:tcPr>
          <w:p w14:paraId="7B74E649">
            <w:pPr>
              <w:spacing w:line="400" w:lineRule="exact"/>
              <w:rPr>
                <w:rFonts w:hint="eastAsia" w:ascii="仿宋" w:hAnsi="仿宋" w:eastAsia="仿宋"/>
                <w:sz w:val="28"/>
                <w:szCs w:val="28"/>
              </w:rPr>
            </w:pPr>
            <w:r>
              <w:rPr>
                <w:rFonts w:hint="eastAsia" w:ascii="仿宋" w:hAnsi="仿宋" w:eastAsia="仿宋"/>
                <w:sz w:val="28"/>
                <w:szCs w:val="28"/>
              </w:rPr>
              <w:t>综合评价</w:t>
            </w:r>
          </w:p>
        </w:tc>
        <w:tc>
          <w:tcPr>
            <w:tcW w:w="899" w:type="dxa"/>
            <w:noWrap w:val="0"/>
            <w:vAlign w:val="center"/>
          </w:tcPr>
          <w:p w14:paraId="43FDAACA">
            <w:pPr>
              <w:spacing w:line="400" w:lineRule="exact"/>
              <w:rPr>
                <w:rFonts w:ascii="仿宋" w:hAnsi="仿宋" w:eastAsia="仿宋"/>
                <w:sz w:val="28"/>
                <w:szCs w:val="28"/>
              </w:rPr>
            </w:pPr>
            <w:r>
              <w:rPr>
                <w:rFonts w:hint="eastAsia" w:ascii="仿宋" w:hAnsi="仿宋" w:eastAsia="仿宋"/>
                <w:sz w:val="28"/>
                <w:szCs w:val="28"/>
              </w:rPr>
              <w:t>7分</w:t>
            </w:r>
          </w:p>
        </w:tc>
        <w:tc>
          <w:tcPr>
            <w:tcW w:w="5695" w:type="dxa"/>
            <w:noWrap w:val="0"/>
            <w:vAlign w:val="center"/>
          </w:tcPr>
          <w:p w14:paraId="7708C221">
            <w:pPr>
              <w:spacing w:line="400" w:lineRule="exact"/>
              <w:rPr>
                <w:rFonts w:hint="eastAsia" w:ascii="仿宋" w:hAnsi="仿宋" w:eastAsia="仿宋"/>
                <w:sz w:val="28"/>
                <w:szCs w:val="28"/>
              </w:rPr>
            </w:pPr>
            <w:r>
              <w:rPr>
                <w:rFonts w:hint="eastAsia" w:ascii="仿宋" w:hAnsi="仿宋" w:eastAsia="仿宋"/>
                <w:sz w:val="28"/>
                <w:szCs w:val="28"/>
              </w:rPr>
              <w:t>对投标单位的能力以及已完成</w:t>
            </w:r>
            <w:r>
              <w:rPr>
                <w:rFonts w:hint="eastAsia" w:ascii="仿宋" w:hAnsi="仿宋" w:eastAsia="仿宋"/>
                <w:sz w:val="28"/>
                <w:szCs w:val="28"/>
                <w:lang w:val="en-US" w:eastAsia="zh-CN"/>
              </w:rPr>
              <w:t>物联网运维</w:t>
            </w:r>
            <w:r>
              <w:rPr>
                <w:rFonts w:hint="eastAsia" w:ascii="仿宋" w:hAnsi="仿宋" w:eastAsia="仿宋"/>
                <w:sz w:val="28"/>
                <w:szCs w:val="28"/>
              </w:rPr>
              <w:t>的进度、质量、安全、信誉等方面</w:t>
            </w:r>
            <w:r>
              <w:rPr>
                <w:rFonts w:ascii="仿宋" w:hAnsi="仿宋" w:eastAsia="仿宋"/>
                <w:sz w:val="28"/>
                <w:szCs w:val="28"/>
              </w:rPr>
              <w:t>进行综合评价</w:t>
            </w:r>
          </w:p>
        </w:tc>
        <w:tc>
          <w:tcPr>
            <w:tcW w:w="1045" w:type="dxa"/>
            <w:noWrap w:val="0"/>
            <w:vAlign w:val="center"/>
          </w:tcPr>
          <w:p w14:paraId="1A24E9CF">
            <w:pPr>
              <w:spacing w:line="400" w:lineRule="exact"/>
              <w:rPr>
                <w:rFonts w:hint="eastAsia" w:ascii="仿宋" w:hAnsi="仿宋" w:eastAsia="仿宋"/>
                <w:sz w:val="28"/>
                <w:szCs w:val="28"/>
              </w:rPr>
            </w:pPr>
            <w:r>
              <w:rPr>
                <w:rFonts w:hint="eastAsia" w:ascii="仿宋" w:hAnsi="仿宋" w:eastAsia="仿宋"/>
                <w:sz w:val="28"/>
                <w:szCs w:val="28"/>
              </w:rPr>
              <w:t>0-7分</w:t>
            </w:r>
          </w:p>
        </w:tc>
      </w:tr>
      <w:tr w14:paraId="5B39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781" w:type="dxa"/>
            <w:noWrap w:val="0"/>
            <w:vAlign w:val="center"/>
          </w:tcPr>
          <w:p w14:paraId="2F8064E6">
            <w:pPr>
              <w:adjustRightInd w:val="0"/>
              <w:snapToGrid w:val="0"/>
              <w:spacing w:line="300" w:lineRule="exact"/>
              <w:jc w:val="center"/>
              <w:rPr>
                <w:rFonts w:hint="eastAsia" w:ascii="仿宋" w:hAnsi="仿宋" w:eastAsia="仿宋"/>
              </w:rPr>
            </w:pPr>
            <w:r>
              <w:rPr>
                <w:rFonts w:hint="eastAsia" w:ascii="仿宋" w:hAnsi="仿宋" w:eastAsia="仿宋"/>
              </w:rPr>
              <w:t>3</w:t>
            </w:r>
          </w:p>
        </w:tc>
        <w:tc>
          <w:tcPr>
            <w:tcW w:w="1498" w:type="dxa"/>
            <w:noWrap w:val="0"/>
            <w:vAlign w:val="center"/>
          </w:tcPr>
          <w:p w14:paraId="4B568592">
            <w:pPr>
              <w:spacing w:line="400" w:lineRule="exact"/>
              <w:rPr>
                <w:rFonts w:hint="eastAsia" w:ascii="仿宋" w:hAnsi="仿宋" w:eastAsia="仿宋"/>
                <w:sz w:val="28"/>
                <w:szCs w:val="28"/>
              </w:rPr>
            </w:pPr>
            <w:r>
              <w:rPr>
                <w:rFonts w:hint="eastAsia" w:ascii="仿宋" w:hAnsi="仿宋" w:eastAsia="仿宋"/>
                <w:sz w:val="28"/>
                <w:szCs w:val="28"/>
              </w:rPr>
              <w:t>投标报价的完整性和合理性</w:t>
            </w:r>
          </w:p>
        </w:tc>
        <w:tc>
          <w:tcPr>
            <w:tcW w:w="899" w:type="dxa"/>
            <w:noWrap w:val="0"/>
            <w:vAlign w:val="center"/>
          </w:tcPr>
          <w:p w14:paraId="452BE91C">
            <w:pPr>
              <w:spacing w:line="400" w:lineRule="exact"/>
              <w:rPr>
                <w:rFonts w:hint="eastAsia" w:ascii="仿宋" w:hAnsi="仿宋" w:eastAsia="仿宋"/>
                <w:sz w:val="28"/>
                <w:szCs w:val="28"/>
              </w:rPr>
            </w:pPr>
            <w:r>
              <w:rPr>
                <w:rFonts w:hint="eastAsia" w:ascii="仿宋" w:hAnsi="仿宋" w:eastAsia="仿宋"/>
                <w:sz w:val="28"/>
                <w:szCs w:val="28"/>
              </w:rPr>
              <w:t>2分</w:t>
            </w:r>
          </w:p>
        </w:tc>
        <w:tc>
          <w:tcPr>
            <w:tcW w:w="5695" w:type="dxa"/>
            <w:noWrap w:val="0"/>
            <w:vAlign w:val="center"/>
          </w:tcPr>
          <w:p w14:paraId="46068B53">
            <w:pPr>
              <w:spacing w:line="400" w:lineRule="exact"/>
              <w:rPr>
                <w:rFonts w:hint="eastAsia" w:ascii="仿宋" w:hAnsi="仿宋" w:eastAsia="仿宋"/>
                <w:sz w:val="28"/>
                <w:szCs w:val="28"/>
              </w:rPr>
            </w:pPr>
            <w:r>
              <w:rPr>
                <w:rFonts w:hint="eastAsia" w:ascii="仿宋" w:hAnsi="仿宋" w:eastAsia="仿宋"/>
                <w:sz w:val="28"/>
                <w:szCs w:val="28"/>
              </w:rPr>
              <w:t>根据投标报价的完整性和合理性进行评价</w:t>
            </w:r>
          </w:p>
        </w:tc>
        <w:tc>
          <w:tcPr>
            <w:tcW w:w="1045" w:type="dxa"/>
            <w:noWrap w:val="0"/>
            <w:vAlign w:val="center"/>
          </w:tcPr>
          <w:p w14:paraId="56D0790F">
            <w:pPr>
              <w:spacing w:line="400" w:lineRule="exact"/>
              <w:rPr>
                <w:rFonts w:hint="eastAsia" w:ascii="仿宋" w:hAnsi="仿宋" w:eastAsia="仿宋"/>
                <w:sz w:val="28"/>
                <w:szCs w:val="28"/>
              </w:rPr>
            </w:pPr>
            <w:r>
              <w:rPr>
                <w:rFonts w:hint="eastAsia" w:ascii="仿宋" w:hAnsi="仿宋" w:eastAsia="仿宋"/>
                <w:sz w:val="28"/>
                <w:szCs w:val="28"/>
              </w:rPr>
              <w:t>0-2分</w:t>
            </w:r>
          </w:p>
        </w:tc>
      </w:tr>
      <w:tr w14:paraId="594B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781" w:type="dxa"/>
            <w:noWrap w:val="0"/>
            <w:vAlign w:val="center"/>
          </w:tcPr>
          <w:p w14:paraId="5EE86845">
            <w:pPr>
              <w:adjustRightInd w:val="0"/>
              <w:snapToGrid w:val="0"/>
              <w:spacing w:line="300" w:lineRule="exact"/>
              <w:jc w:val="center"/>
              <w:rPr>
                <w:rFonts w:ascii="仿宋" w:hAnsi="仿宋" w:eastAsia="仿宋"/>
              </w:rPr>
            </w:pPr>
            <w:r>
              <w:rPr>
                <w:rFonts w:hint="eastAsia" w:ascii="仿宋" w:hAnsi="仿宋" w:eastAsia="仿宋"/>
              </w:rPr>
              <w:t>4</w:t>
            </w:r>
          </w:p>
        </w:tc>
        <w:tc>
          <w:tcPr>
            <w:tcW w:w="1498" w:type="dxa"/>
            <w:noWrap w:val="0"/>
            <w:vAlign w:val="center"/>
          </w:tcPr>
          <w:p w14:paraId="1F3F3F22">
            <w:pPr>
              <w:spacing w:line="400" w:lineRule="exact"/>
              <w:rPr>
                <w:rFonts w:hint="eastAsia" w:ascii="仿宋" w:hAnsi="仿宋" w:eastAsia="仿宋"/>
                <w:sz w:val="28"/>
                <w:szCs w:val="28"/>
              </w:rPr>
            </w:pPr>
            <w:r>
              <w:rPr>
                <w:rFonts w:hint="eastAsia" w:ascii="仿宋" w:hAnsi="仿宋" w:eastAsia="仿宋"/>
                <w:sz w:val="28"/>
                <w:szCs w:val="28"/>
              </w:rPr>
              <w:t>商务部分偏差</w:t>
            </w:r>
          </w:p>
        </w:tc>
        <w:tc>
          <w:tcPr>
            <w:tcW w:w="899" w:type="dxa"/>
            <w:noWrap w:val="0"/>
            <w:vAlign w:val="center"/>
          </w:tcPr>
          <w:p w14:paraId="3E0D18ED">
            <w:pPr>
              <w:spacing w:line="400" w:lineRule="exact"/>
              <w:rPr>
                <w:rFonts w:hint="eastAsia" w:ascii="仿宋" w:hAnsi="仿宋" w:eastAsia="仿宋"/>
                <w:sz w:val="28"/>
                <w:szCs w:val="28"/>
              </w:rPr>
            </w:pPr>
            <w:r>
              <w:rPr>
                <w:rFonts w:hint="eastAsia" w:ascii="仿宋" w:hAnsi="仿宋" w:eastAsia="仿宋"/>
                <w:sz w:val="28"/>
                <w:szCs w:val="28"/>
              </w:rPr>
              <w:t>3分</w:t>
            </w:r>
          </w:p>
        </w:tc>
        <w:tc>
          <w:tcPr>
            <w:tcW w:w="5695" w:type="dxa"/>
            <w:noWrap w:val="0"/>
            <w:vAlign w:val="center"/>
          </w:tcPr>
          <w:p w14:paraId="2697D99A">
            <w:pPr>
              <w:spacing w:line="400" w:lineRule="exact"/>
              <w:rPr>
                <w:rFonts w:hint="eastAsia" w:ascii="仿宋" w:hAnsi="仿宋" w:eastAsia="仿宋"/>
                <w:sz w:val="28"/>
                <w:szCs w:val="28"/>
              </w:rPr>
            </w:pPr>
            <w:r>
              <w:rPr>
                <w:rFonts w:hint="eastAsia" w:ascii="仿宋" w:hAnsi="仿宋" w:eastAsia="仿宋"/>
                <w:sz w:val="28"/>
                <w:szCs w:val="28"/>
              </w:rPr>
              <w:t>商务部分偏差，根据横向比较综合评审</w:t>
            </w:r>
          </w:p>
        </w:tc>
        <w:tc>
          <w:tcPr>
            <w:tcW w:w="1045" w:type="dxa"/>
            <w:noWrap w:val="0"/>
            <w:vAlign w:val="center"/>
          </w:tcPr>
          <w:p w14:paraId="1EC9A001">
            <w:pPr>
              <w:spacing w:line="400" w:lineRule="exact"/>
              <w:rPr>
                <w:rFonts w:hint="eastAsia" w:ascii="仿宋" w:hAnsi="仿宋" w:eastAsia="仿宋"/>
                <w:sz w:val="28"/>
                <w:szCs w:val="28"/>
              </w:rPr>
            </w:pPr>
            <w:r>
              <w:rPr>
                <w:rFonts w:hint="eastAsia" w:ascii="仿宋" w:hAnsi="仿宋" w:eastAsia="仿宋"/>
                <w:sz w:val="28"/>
                <w:szCs w:val="28"/>
              </w:rPr>
              <w:t>0-3分</w:t>
            </w:r>
          </w:p>
        </w:tc>
      </w:tr>
      <w:tr w14:paraId="55B6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781" w:type="dxa"/>
            <w:noWrap w:val="0"/>
            <w:vAlign w:val="center"/>
          </w:tcPr>
          <w:p w14:paraId="5DD7E6D5">
            <w:pPr>
              <w:adjustRightInd w:val="0"/>
              <w:snapToGrid w:val="0"/>
              <w:spacing w:line="300" w:lineRule="exact"/>
              <w:jc w:val="center"/>
              <w:rPr>
                <w:rFonts w:ascii="仿宋" w:hAnsi="仿宋" w:eastAsia="仿宋"/>
              </w:rPr>
            </w:pPr>
            <w:r>
              <w:rPr>
                <w:rFonts w:hint="eastAsia" w:ascii="仿宋" w:hAnsi="仿宋" w:eastAsia="仿宋"/>
              </w:rPr>
              <w:t>5</w:t>
            </w:r>
          </w:p>
        </w:tc>
        <w:tc>
          <w:tcPr>
            <w:tcW w:w="1498" w:type="dxa"/>
            <w:noWrap w:val="0"/>
            <w:vAlign w:val="center"/>
          </w:tcPr>
          <w:p w14:paraId="302C6E6E">
            <w:pPr>
              <w:spacing w:line="400" w:lineRule="exact"/>
              <w:rPr>
                <w:rFonts w:hint="eastAsia" w:ascii="仿宋" w:hAnsi="仿宋" w:eastAsia="仿宋"/>
                <w:sz w:val="28"/>
                <w:szCs w:val="28"/>
              </w:rPr>
            </w:pPr>
            <w:r>
              <w:rPr>
                <w:rFonts w:hint="eastAsia" w:ascii="仿宋" w:hAnsi="仿宋" w:eastAsia="仿宋"/>
                <w:sz w:val="28"/>
                <w:szCs w:val="28"/>
              </w:rPr>
              <w:t>业绩</w:t>
            </w:r>
          </w:p>
        </w:tc>
        <w:tc>
          <w:tcPr>
            <w:tcW w:w="899" w:type="dxa"/>
            <w:noWrap w:val="0"/>
            <w:vAlign w:val="center"/>
          </w:tcPr>
          <w:p w14:paraId="35D5C4DB">
            <w:pPr>
              <w:spacing w:line="400" w:lineRule="exact"/>
              <w:rPr>
                <w:rFonts w:hint="eastAsia" w:ascii="仿宋" w:hAnsi="仿宋" w:eastAsia="仿宋"/>
                <w:sz w:val="28"/>
                <w:szCs w:val="28"/>
              </w:rPr>
            </w:pPr>
            <w:r>
              <w:rPr>
                <w:rFonts w:hint="eastAsia" w:ascii="仿宋" w:hAnsi="仿宋" w:eastAsia="仿宋"/>
                <w:sz w:val="28"/>
                <w:szCs w:val="28"/>
              </w:rPr>
              <w:t>5分</w:t>
            </w:r>
          </w:p>
        </w:tc>
        <w:tc>
          <w:tcPr>
            <w:tcW w:w="5695" w:type="dxa"/>
            <w:noWrap w:val="0"/>
            <w:vAlign w:val="center"/>
          </w:tcPr>
          <w:p w14:paraId="1A851242">
            <w:pPr>
              <w:spacing w:line="400" w:lineRule="exact"/>
              <w:rPr>
                <w:rFonts w:hint="eastAsia"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2</w:t>
            </w:r>
            <w:r>
              <w:rPr>
                <w:rFonts w:hint="eastAsia" w:ascii="仿宋" w:hAnsi="仿宋" w:eastAsia="仿宋"/>
                <w:sz w:val="28"/>
                <w:szCs w:val="28"/>
              </w:rPr>
              <w:t>年以来具有3个以上类似维护业绩，有三个得</w:t>
            </w:r>
            <w:r>
              <w:rPr>
                <w:rFonts w:hint="eastAsia" w:ascii="仿宋" w:hAnsi="仿宋" w:eastAsia="仿宋"/>
                <w:sz w:val="28"/>
                <w:szCs w:val="28"/>
                <w:lang w:val="en-US" w:eastAsia="zh-CN"/>
              </w:rPr>
              <w:t>3</w:t>
            </w:r>
            <w:r>
              <w:rPr>
                <w:rFonts w:hint="eastAsia" w:ascii="仿宋" w:hAnsi="仿宋" w:eastAsia="仿宋"/>
                <w:sz w:val="28"/>
                <w:szCs w:val="28"/>
              </w:rPr>
              <w:t>分，每增加一个加1分，最多得5分</w:t>
            </w:r>
          </w:p>
          <w:p w14:paraId="535AF007">
            <w:pPr>
              <w:spacing w:line="400" w:lineRule="exact"/>
              <w:rPr>
                <w:rFonts w:hint="eastAsia" w:ascii="仿宋" w:hAnsi="仿宋" w:eastAsia="仿宋"/>
                <w:sz w:val="28"/>
                <w:szCs w:val="28"/>
              </w:rPr>
            </w:pPr>
            <w:r>
              <w:rPr>
                <w:rFonts w:hint="eastAsia" w:ascii="仿宋" w:hAnsi="仿宋" w:eastAsia="仿宋"/>
                <w:sz w:val="28"/>
                <w:szCs w:val="28"/>
              </w:rPr>
              <w:t>注：所有业绩均须在投标文件中提供合同关键页扫描件。未提供或提供不完整的不得分</w:t>
            </w:r>
          </w:p>
        </w:tc>
        <w:tc>
          <w:tcPr>
            <w:tcW w:w="1045" w:type="dxa"/>
            <w:noWrap w:val="0"/>
            <w:vAlign w:val="center"/>
          </w:tcPr>
          <w:p w14:paraId="7A110846">
            <w:pPr>
              <w:spacing w:line="400" w:lineRule="exact"/>
              <w:rPr>
                <w:rFonts w:hint="eastAsia" w:ascii="仿宋" w:hAnsi="仿宋" w:eastAsia="仿宋"/>
                <w:sz w:val="28"/>
                <w:szCs w:val="28"/>
              </w:rPr>
            </w:pPr>
            <w:r>
              <w:rPr>
                <w:rFonts w:hint="eastAsia" w:ascii="仿宋" w:hAnsi="仿宋" w:eastAsia="仿宋"/>
                <w:sz w:val="28"/>
                <w:szCs w:val="28"/>
              </w:rPr>
              <w:t>0-5分</w:t>
            </w:r>
          </w:p>
        </w:tc>
      </w:tr>
    </w:tbl>
    <w:p w14:paraId="3BFDFF07">
      <w:pPr>
        <w:spacing w:line="500" w:lineRule="exact"/>
        <w:ind w:firstLine="564"/>
        <w:rPr>
          <w:rFonts w:hint="eastAsia" w:ascii="仿宋" w:hAnsi="仿宋" w:eastAsia="仿宋" w:cs="仿宋_GB2312"/>
          <w:sz w:val="32"/>
          <w:szCs w:val="32"/>
        </w:rPr>
      </w:pPr>
    </w:p>
    <w:p w14:paraId="3596532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32"/>
          <w:szCs w:val="32"/>
        </w:rPr>
      </w:pPr>
      <w:r>
        <w:rPr>
          <w:rFonts w:hint="eastAsia" w:ascii="宋体" w:hAnsi="宋体" w:eastAsia="宋体" w:cs="宋体"/>
          <w:b/>
          <w:sz w:val="32"/>
          <w:szCs w:val="32"/>
        </w:rPr>
        <w:t>技术部分评分表（40分）</w:t>
      </w:r>
    </w:p>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44"/>
        <w:gridCol w:w="991"/>
        <w:gridCol w:w="3685"/>
        <w:gridCol w:w="1034"/>
      </w:tblGrid>
      <w:tr w14:paraId="7590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03" w:type="dxa"/>
            <w:tcBorders>
              <w:bottom w:val="single" w:color="auto" w:sz="4" w:space="0"/>
            </w:tcBorders>
            <w:noWrap w:val="0"/>
            <w:vAlign w:val="center"/>
          </w:tcPr>
          <w:p w14:paraId="46960EA5">
            <w:pPr>
              <w:adjustRightInd w:val="0"/>
              <w:snapToGrid w:val="0"/>
              <w:spacing w:line="300" w:lineRule="exact"/>
              <w:jc w:val="center"/>
              <w:rPr>
                <w:rFonts w:hint="eastAsia" w:ascii="仿宋" w:hAnsi="仿宋" w:eastAsia="仿宋" w:cs="Times New Roman"/>
                <w:b/>
                <w:szCs w:val="21"/>
              </w:rPr>
            </w:pPr>
            <w:r>
              <w:rPr>
                <w:rFonts w:hint="eastAsia" w:ascii="仿宋" w:hAnsi="仿宋" w:eastAsia="仿宋" w:cs="Times New Roman"/>
                <w:b/>
                <w:szCs w:val="21"/>
              </w:rPr>
              <w:t>序号</w:t>
            </w:r>
          </w:p>
        </w:tc>
        <w:tc>
          <w:tcPr>
            <w:tcW w:w="2544" w:type="dxa"/>
            <w:tcBorders>
              <w:bottom w:val="single" w:color="auto" w:sz="4" w:space="0"/>
            </w:tcBorders>
            <w:noWrap w:val="0"/>
            <w:vAlign w:val="center"/>
          </w:tcPr>
          <w:p w14:paraId="65A50D48">
            <w:pPr>
              <w:adjustRightInd w:val="0"/>
              <w:snapToGrid w:val="0"/>
              <w:spacing w:line="300" w:lineRule="exact"/>
              <w:jc w:val="center"/>
              <w:rPr>
                <w:rFonts w:hint="eastAsia" w:ascii="仿宋" w:hAnsi="仿宋" w:eastAsia="仿宋" w:cs="Times New Roman"/>
                <w:b/>
                <w:szCs w:val="21"/>
              </w:rPr>
            </w:pPr>
            <w:r>
              <w:rPr>
                <w:rFonts w:hint="eastAsia" w:ascii="仿宋" w:hAnsi="仿宋" w:eastAsia="仿宋" w:cs="Times New Roman"/>
                <w:b/>
                <w:szCs w:val="21"/>
              </w:rPr>
              <w:t>项目</w:t>
            </w:r>
          </w:p>
        </w:tc>
        <w:tc>
          <w:tcPr>
            <w:tcW w:w="991" w:type="dxa"/>
            <w:tcBorders>
              <w:bottom w:val="single" w:color="auto" w:sz="4" w:space="0"/>
            </w:tcBorders>
            <w:noWrap w:val="0"/>
            <w:vAlign w:val="center"/>
          </w:tcPr>
          <w:p w14:paraId="3FA6CE51">
            <w:pPr>
              <w:adjustRightInd w:val="0"/>
              <w:snapToGrid w:val="0"/>
              <w:spacing w:line="300" w:lineRule="exact"/>
              <w:jc w:val="center"/>
              <w:rPr>
                <w:rFonts w:hint="eastAsia" w:ascii="仿宋" w:hAnsi="仿宋" w:eastAsia="仿宋" w:cs="Times New Roman"/>
                <w:b/>
                <w:szCs w:val="21"/>
              </w:rPr>
            </w:pPr>
            <w:r>
              <w:rPr>
                <w:rFonts w:hint="eastAsia" w:ascii="仿宋" w:hAnsi="仿宋" w:eastAsia="仿宋" w:cs="Times New Roman"/>
                <w:b/>
                <w:szCs w:val="21"/>
              </w:rPr>
              <w:t>标准分</w:t>
            </w:r>
          </w:p>
        </w:tc>
        <w:tc>
          <w:tcPr>
            <w:tcW w:w="3685" w:type="dxa"/>
            <w:tcBorders>
              <w:bottom w:val="single" w:color="auto" w:sz="4" w:space="0"/>
            </w:tcBorders>
            <w:noWrap w:val="0"/>
            <w:vAlign w:val="center"/>
          </w:tcPr>
          <w:p w14:paraId="1D7F8FFF">
            <w:pPr>
              <w:adjustRightInd w:val="0"/>
              <w:snapToGrid w:val="0"/>
              <w:spacing w:line="300" w:lineRule="exact"/>
              <w:jc w:val="center"/>
              <w:rPr>
                <w:rFonts w:hint="eastAsia" w:ascii="仿宋" w:hAnsi="仿宋" w:eastAsia="仿宋" w:cs="Times New Roman"/>
                <w:b/>
                <w:szCs w:val="21"/>
              </w:rPr>
            </w:pPr>
            <w:r>
              <w:rPr>
                <w:rFonts w:hint="eastAsia" w:ascii="仿宋" w:hAnsi="仿宋" w:eastAsia="仿宋" w:cs="Times New Roman"/>
                <w:b/>
                <w:szCs w:val="21"/>
              </w:rPr>
              <w:t>评分标准</w:t>
            </w:r>
          </w:p>
        </w:tc>
        <w:tc>
          <w:tcPr>
            <w:tcW w:w="1034" w:type="dxa"/>
            <w:tcBorders>
              <w:bottom w:val="single" w:color="auto" w:sz="4" w:space="0"/>
            </w:tcBorders>
            <w:noWrap w:val="0"/>
            <w:vAlign w:val="center"/>
          </w:tcPr>
          <w:p w14:paraId="4E32C51F">
            <w:pPr>
              <w:adjustRightInd w:val="0"/>
              <w:snapToGrid w:val="0"/>
              <w:spacing w:line="300" w:lineRule="exact"/>
              <w:jc w:val="center"/>
              <w:rPr>
                <w:rFonts w:hint="eastAsia" w:ascii="仿宋" w:hAnsi="仿宋" w:eastAsia="仿宋" w:cs="Times New Roman"/>
                <w:b/>
                <w:szCs w:val="21"/>
              </w:rPr>
            </w:pPr>
            <w:r>
              <w:rPr>
                <w:rFonts w:hint="eastAsia" w:ascii="仿宋" w:hAnsi="仿宋" w:eastAsia="仿宋" w:cs="Times New Roman"/>
                <w:b/>
                <w:szCs w:val="21"/>
              </w:rPr>
              <w:t>分值</w:t>
            </w:r>
          </w:p>
        </w:tc>
      </w:tr>
      <w:tr w14:paraId="05AB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jc w:val="center"/>
        </w:trPr>
        <w:tc>
          <w:tcPr>
            <w:tcW w:w="903" w:type="dxa"/>
            <w:noWrap w:val="0"/>
            <w:vAlign w:val="center"/>
          </w:tcPr>
          <w:p w14:paraId="775961E5">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1</w:t>
            </w:r>
          </w:p>
        </w:tc>
        <w:tc>
          <w:tcPr>
            <w:tcW w:w="2544" w:type="dxa"/>
            <w:noWrap w:val="0"/>
            <w:vAlign w:val="center"/>
          </w:tcPr>
          <w:p w14:paraId="40675636">
            <w:pPr>
              <w:spacing w:line="400" w:lineRule="exact"/>
              <w:rPr>
                <w:rFonts w:hint="eastAsia" w:ascii="仿宋" w:hAnsi="仿宋" w:eastAsia="仿宋" w:cs="Times New Roman"/>
                <w:sz w:val="28"/>
                <w:szCs w:val="28"/>
              </w:rPr>
            </w:pPr>
            <w:r>
              <w:rPr>
                <w:rFonts w:hint="eastAsia" w:ascii="仿宋" w:hAnsi="仿宋" w:eastAsia="仿宋" w:cs="Times New Roman"/>
                <w:sz w:val="28"/>
                <w:szCs w:val="28"/>
                <w:lang w:val="en-US" w:eastAsia="zh-CN"/>
              </w:rPr>
              <w:t>运维</w:t>
            </w:r>
            <w:r>
              <w:rPr>
                <w:rFonts w:hint="eastAsia" w:ascii="仿宋" w:hAnsi="仿宋" w:eastAsia="仿宋" w:cs="Times New Roman"/>
                <w:sz w:val="28"/>
                <w:szCs w:val="28"/>
              </w:rPr>
              <w:t>方案</w:t>
            </w:r>
          </w:p>
        </w:tc>
        <w:tc>
          <w:tcPr>
            <w:tcW w:w="991" w:type="dxa"/>
            <w:noWrap w:val="0"/>
            <w:vAlign w:val="center"/>
          </w:tcPr>
          <w:p w14:paraId="37D8513E">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20分</w:t>
            </w:r>
          </w:p>
        </w:tc>
        <w:tc>
          <w:tcPr>
            <w:tcW w:w="3685" w:type="dxa"/>
            <w:noWrap w:val="0"/>
            <w:vAlign w:val="center"/>
          </w:tcPr>
          <w:p w14:paraId="37B80CB1">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根据投标单位提供的</w:t>
            </w:r>
            <w:r>
              <w:rPr>
                <w:rFonts w:hint="eastAsia" w:ascii="仿宋" w:hAnsi="仿宋" w:eastAsia="仿宋" w:cs="Times New Roman"/>
                <w:sz w:val="28"/>
                <w:szCs w:val="28"/>
                <w:lang w:val="en-US" w:eastAsia="zh-CN"/>
              </w:rPr>
              <w:t>运维</w:t>
            </w:r>
            <w:r>
              <w:rPr>
                <w:rFonts w:hint="eastAsia" w:ascii="仿宋" w:hAnsi="仿宋" w:eastAsia="仿宋" w:cs="Times New Roman"/>
                <w:sz w:val="28"/>
                <w:szCs w:val="28"/>
              </w:rPr>
              <w:t>方案：具有针对性，科学可行，方案明理清析得20-14分，一般得13-6分，方案不充分、不完善得5-0分。</w:t>
            </w:r>
          </w:p>
        </w:tc>
        <w:tc>
          <w:tcPr>
            <w:tcW w:w="1034" w:type="dxa"/>
            <w:noWrap w:val="0"/>
            <w:vAlign w:val="center"/>
          </w:tcPr>
          <w:p w14:paraId="6DD009D1">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0-20分</w:t>
            </w:r>
          </w:p>
        </w:tc>
      </w:tr>
      <w:tr w14:paraId="7ACF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exact"/>
          <w:jc w:val="center"/>
        </w:trPr>
        <w:tc>
          <w:tcPr>
            <w:tcW w:w="903" w:type="dxa"/>
            <w:noWrap w:val="0"/>
            <w:vAlign w:val="center"/>
          </w:tcPr>
          <w:p w14:paraId="56E33FDB">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2</w:t>
            </w:r>
          </w:p>
        </w:tc>
        <w:tc>
          <w:tcPr>
            <w:tcW w:w="2544" w:type="dxa"/>
            <w:noWrap w:val="0"/>
            <w:vAlign w:val="center"/>
          </w:tcPr>
          <w:p w14:paraId="63F3CAA9">
            <w:pPr>
              <w:spacing w:line="400" w:lineRule="exact"/>
              <w:rPr>
                <w:rFonts w:hint="eastAsia" w:ascii="仿宋" w:hAnsi="仿宋" w:eastAsia="仿宋" w:cs="Times New Roman"/>
                <w:sz w:val="28"/>
                <w:szCs w:val="28"/>
              </w:rPr>
            </w:pPr>
            <w:r>
              <w:rPr>
                <w:rFonts w:hint="eastAsia" w:ascii="仿宋" w:hAnsi="仿宋" w:eastAsia="仿宋" w:cs="Times New Roman"/>
                <w:sz w:val="28"/>
                <w:szCs w:val="28"/>
                <w:lang w:val="en-US" w:eastAsia="zh-CN"/>
              </w:rPr>
              <w:t>运维</w:t>
            </w:r>
            <w:r>
              <w:rPr>
                <w:rFonts w:hint="eastAsia" w:ascii="仿宋" w:hAnsi="仿宋" w:eastAsia="仿宋" w:cs="Times New Roman"/>
                <w:sz w:val="28"/>
                <w:szCs w:val="28"/>
              </w:rPr>
              <w:t>实施计划编制</w:t>
            </w:r>
          </w:p>
        </w:tc>
        <w:tc>
          <w:tcPr>
            <w:tcW w:w="991" w:type="dxa"/>
            <w:noWrap w:val="0"/>
            <w:vAlign w:val="center"/>
          </w:tcPr>
          <w:p w14:paraId="23CF5DED">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7分</w:t>
            </w:r>
          </w:p>
        </w:tc>
        <w:tc>
          <w:tcPr>
            <w:tcW w:w="3685" w:type="dxa"/>
            <w:noWrap w:val="0"/>
            <w:vAlign w:val="center"/>
          </w:tcPr>
          <w:p w14:paraId="10DB4006">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针对本项目编制科学、详细、合理的实施计划得7-5分，一般得4-2分，编制计划不完善的得1-0分。</w:t>
            </w:r>
          </w:p>
        </w:tc>
        <w:tc>
          <w:tcPr>
            <w:tcW w:w="1034" w:type="dxa"/>
            <w:noWrap w:val="0"/>
            <w:vAlign w:val="center"/>
          </w:tcPr>
          <w:p w14:paraId="4681FA9B">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0-7分</w:t>
            </w:r>
          </w:p>
        </w:tc>
      </w:tr>
      <w:tr w14:paraId="15A7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exact"/>
          <w:jc w:val="center"/>
        </w:trPr>
        <w:tc>
          <w:tcPr>
            <w:tcW w:w="903" w:type="dxa"/>
            <w:noWrap w:val="0"/>
            <w:vAlign w:val="center"/>
          </w:tcPr>
          <w:p w14:paraId="5BAF7251">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3</w:t>
            </w:r>
          </w:p>
        </w:tc>
        <w:tc>
          <w:tcPr>
            <w:tcW w:w="2544" w:type="dxa"/>
            <w:noWrap w:val="0"/>
            <w:vAlign w:val="center"/>
          </w:tcPr>
          <w:p w14:paraId="4D63E849">
            <w:pPr>
              <w:spacing w:line="400" w:lineRule="exac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服务质量保证措施</w:t>
            </w:r>
          </w:p>
        </w:tc>
        <w:tc>
          <w:tcPr>
            <w:tcW w:w="991" w:type="dxa"/>
            <w:noWrap w:val="0"/>
            <w:vAlign w:val="center"/>
          </w:tcPr>
          <w:p w14:paraId="67F62752">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7分</w:t>
            </w:r>
          </w:p>
        </w:tc>
        <w:tc>
          <w:tcPr>
            <w:tcW w:w="3685" w:type="dxa"/>
            <w:noWrap w:val="0"/>
            <w:vAlign w:val="center"/>
          </w:tcPr>
          <w:p w14:paraId="5156FF49">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制定针对本项目实施中</w:t>
            </w:r>
            <w:r>
              <w:rPr>
                <w:rFonts w:hint="eastAsia" w:ascii="仿宋" w:hAnsi="仿宋" w:eastAsia="仿宋" w:cs="Times New Roman"/>
                <w:sz w:val="28"/>
                <w:szCs w:val="28"/>
                <w:lang w:val="en-US" w:eastAsia="zh-CN"/>
              </w:rPr>
              <w:t>服务质量</w:t>
            </w:r>
            <w:r>
              <w:rPr>
                <w:rFonts w:hint="eastAsia" w:ascii="仿宋" w:hAnsi="仿宋" w:eastAsia="仿宋" w:cs="Times New Roman"/>
                <w:sz w:val="28"/>
                <w:szCs w:val="28"/>
              </w:rPr>
              <w:t>，制定具体的</w:t>
            </w:r>
            <w:r>
              <w:rPr>
                <w:rFonts w:hint="eastAsia" w:ascii="仿宋" w:hAnsi="仿宋" w:eastAsia="仿宋" w:cs="Times New Roman"/>
                <w:sz w:val="28"/>
                <w:szCs w:val="28"/>
                <w:lang w:val="en-US" w:eastAsia="zh-CN"/>
              </w:rPr>
              <w:t>服务质量保证措施</w:t>
            </w:r>
            <w:r>
              <w:rPr>
                <w:rFonts w:hint="eastAsia" w:ascii="仿宋" w:hAnsi="仿宋" w:eastAsia="仿宋" w:cs="Times New Roman"/>
                <w:sz w:val="28"/>
                <w:szCs w:val="28"/>
              </w:rPr>
              <w:t>，明确责任</w:t>
            </w:r>
            <w:r>
              <w:rPr>
                <w:rFonts w:hint="eastAsia" w:ascii="仿宋" w:hAnsi="仿宋" w:eastAsia="仿宋" w:cs="Times New Roman"/>
                <w:sz w:val="28"/>
                <w:szCs w:val="28"/>
                <w:lang w:val="en-US" w:eastAsia="zh-CN"/>
              </w:rPr>
              <w:t>划分</w:t>
            </w:r>
            <w:r>
              <w:rPr>
                <w:rFonts w:hint="eastAsia" w:ascii="仿宋" w:hAnsi="仿宋" w:eastAsia="仿宋" w:cs="Times New Roman"/>
                <w:sz w:val="28"/>
                <w:szCs w:val="28"/>
              </w:rPr>
              <w:t>详细的得7-5分，一般得4-2分，方案不完善得1-0分。</w:t>
            </w:r>
          </w:p>
        </w:tc>
        <w:tc>
          <w:tcPr>
            <w:tcW w:w="1034" w:type="dxa"/>
            <w:noWrap w:val="0"/>
            <w:vAlign w:val="center"/>
          </w:tcPr>
          <w:p w14:paraId="5E64D375">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0-7分</w:t>
            </w:r>
          </w:p>
        </w:tc>
      </w:tr>
      <w:tr w14:paraId="368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exact"/>
          <w:jc w:val="center"/>
        </w:trPr>
        <w:tc>
          <w:tcPr>
            <w:tcW w:w="903" w:type="dxa"/>
            <w:noWrap w:val="0"/>
            <w:vAlign w:val="center"/>
          </w:tcPr>
          <w:p w14:paraId="76BDA320">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4</w:t>
            </w:r>
          </w:p>
        </w:tc>
        <w:tc>
          <w:tcPr>
            <w:tcW w:w="2544" w:type="dxa"/>
            <w:noWrap w:val="0"/>
            <w:vAlign w:val="center"/>
          </w:tcPr>
          <w:p w14:paraId="3F2A259E">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项目经理部人员构成及主要专业技术人员资历</w:t>
            </w:r>
          </w:p>
        </w:tc>
        <w:tc>
          <w:tcPr>
            <w:tcW w:w="991" w:type="dxa"/>
            <w:noWrap w:val="0"/>
            <w:vAlign w:val="center"/>
          </w:tcPr>
          <w:p w14:paraId="1CB27D32">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6分</w:t>
            </w:r>
          </w:p>
        </w:tc>
        <w:tc>
          <w:tcPr>
            <w:tcW w:w="3685" w:type="dxa"/>
            <w:noWrap w:val="0"/>
            <w:vAlign w:val="center"/>
          </w:tcPr>
          <w:p w14:paraId="0CD15F85">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人员配置科学完善、相应证书齐全得6-4分，人员配置完善、相应证书较齐全得3-1分，人员配置及证书欠完整得0分。</w:t>
            </w:r>
          </w:p>
        </w:tc>
        <w:tc>
          <w:tcPr>
            <w:tcW w:w="1034" w:type="dxa"/>
            <w:tcBorders>
              <w:bottom w:val="single" w:color="auto" w:sz="4" w:space="0"/>
            </w:tcBorders>
            <w:noWrap w:val="0"/>
            <w:vAlign w:val="center"/>
          </w:tcPr>
          <w:p w14:paraId="281F5494">
            <w:pPr>
              <w:spacing w:line="400" w:lineRule="exact"/>
              <w:rPr>
                <w:rFonts w:hint="eastAsia" w:ascii="仿宋" w:hAnsi="仿宋" w:eastAsia="仿宋" w:cs="Times New Roman"/>
                <w:sz w:val="28"/>
                <w:szCs w:val="28"/>
              </w:rPr>
            </w:pPr>
            <w:r>
              <w:rPr>
                <w:rFonts w:hint="eastAsia" w:ascii="仿宋" w:hAnsi="仿宋" w:eastAsia="仿宋" w:cs="Times New Roman"/>
                <w:sz w:val="28"/>
                <w:szCs w:val="28"/>
              </w:rPr>
              <w:t>0-6分</w:t>
            </w:r>
          </w:p>
        </w:tc>
      </w:tr>
    </w:tbl>
    <w:p w14:paraId="60AEC62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2.3.4、投标人综合得分按下列公式计算：</w:t>
      </w:r>
    </w:p>
    <w:p w14:paraId="0BAC804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投标人综合得分=评标价格得分+商务部分得分＋技术部分得分。</w:t>
      </w:r>
    </w:p>
    <w:p w14:paraId="44471E4C">
      <w:pPr>
        <w:keepNext w:val="0"/>
        <w:keepLines w:val="0"/>
        <w:pageBreakBefore w:val="0"/>
        <w:widowControl w:val="0"/>
        <w:kinsoku/>
        <w:wordWrap/>
        <w:overflowPunct/>
        <w:topLinePunct w:val="0"/>
        <w:autoSpaceDE/>
        <w:autoSpaceDN/>
        <w:bidi w:val="0"/>
        <w:adjustRightInd/>
        <w:snapToGrid/>
        <w:spacing w:line="420" w:lineRule="exact"/>
        <w:ind w:firstLine="564"/>
        <w:textAlignment w:val="auto"/>
        <w:rPr>
          <w:rFonts w:hint="eastAsia" w:ascii="仿宋" w:hAnsi="仿宋" w:eastAsia="仿宋" w:cs="仿宋"/>
          <w:b/>
          <w:bCs/>
          <w:sz w:val="32"/>
          <w:szCs w:val="32"/>
        </w:rPr>
      </w:pPr>
      <w:r>
        <w:rPr>
          <w:rFonts w:hint="eastAsia" w:ascii="仿宋" w:hAnsi="仿宋" w:eastAsia="仿宋" w:cs="仿宋"/>
          <w:b/>
          <w:bCs/>
          <w:sz w:val="32"/>
          <w:szCs w:val="32"/>
        </w:rPr>
        <w:t>3、授予合同</w:t>
      </w:r>
    </w:p>
    <w:p w14:paraId="1287334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1</w:t>
      </w:r>
      <w:r>
        <w:rPr>
          <w:rFonts w:hint="eastAsia" w:ascii="仿宋" w:hAnsi="仿宋" w:eastAsia="仿宋" w:cs="仿宋"/>
          <w:sz w:val="32"/>
          <w:szCs w:val="32"/>
        </w:rPr>
        <w:t>中标人在接到《中标通知书》后5日内，按甲方约定的时间、地点与甲方签订合同。</w:t>
      </w:r>
    </w:p>
    <w:p w14:paraId="69C9C40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2</w:t>
      </w:r>
      <w:r>
        <w:rPr>
          <w:rFonts w:hint="eastAsia" w:ascii="仿宋" w:hAnsi="仿宋" w:eastAsia="仿宋" w:cs="仿宋"/>
          <w:sz w:val="32"/>
          <w:szCs w:val="32"/>
        </w:rPr>
        <w:t>招标文件、中标人的投标文件及其澄清文件等，均为签订合同的依据。中标人不得与招标人签订背离上述文件内容的合同。</w:t>
      </w:r>
    </w:p>
    <w:p w14:paraId="2FA5E56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bCs/>
          <w:sz w:val="32"/>
          <w:szCs w:val="32"/>
        </w:rPr>
        <w:t xml:space="preserve">  4、 招标投标费用</w:t>
      </w:r>
    </w:p>
    <w:p w14:paraId="54DCD23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sz w:val="32"/>
          <w:szCs w:val="32"/>
        </w:rPr>
      </w:pPr>
      <w:r>
        <w:rPr>
          <w:rFonts w:hint="eastAsia" w:ascii="仿宋" w:hAnsi="仿宋" w:eastAsia="仿宋" w:cs="仿宋"/>
          <w:sz w:val="32"/>
          <w:szCs w:val="32"/>
        </w:rPr>
        <w:t>一切与投标有关的费用均由投标人自理。</w:t>
      </w:r>
    </w:p>
    <w:p w14:paraId="1E5253D1">
      <w:pPr>
        <w:pStyle w:val="19"/>
        <w:spacing w:before="0" w:after="0" w:line="500" w:lineRule="exact"/>
        <w:jc w:val="both"/>
        <w:rPr>
          <w:rFonts w:hint="eastAsia" w:ascii="仿宋" w:hAnsi="仿宋" w:eastAsia="仿宋" w:cs="仿宋_GB2312"/>
          <w:b/>
          <w:bCs/>
          <w:sz w:val="32"/>
          <w:szCs w:val="32"/>
        </w:rPr>
      </w:pPr>
    </w:p>
    <w:p w14:paraId="1753BA5E">
      <w:pPr>
        <w:pStyle w:val="19"/>
        <w:spacing w:before="0" w:after="0" w:line="500" w:lineRule="exact"/>
        <w:jc w:val="both"/>
        <w:rPr>
          <w:rFonts w:ascii="仿宋" w:hAnsi="仿宋" w:eastAsia="仿宋" w:cs="仿宋_GB2312"/>
          <w:b/>
          <w:bCs/>
          <w:color w:val="000000"/>
          <w:sz w:val="32"/>
          <w:szCs w:val="32"/>
        </w:rPr>
      </w:pPr>
      <w:r>
        <w:rPr>
          <w:rFonts w:hint="eastAsia" w:ascii="仿宋" w:hAnsi="仿宋" w:eastAsia="仿宋" w:cs="仿宋_GB2312"/>
          <w:b/>
          <w:bCs/>
          <w:sz w:val="32"/>
          <w:szCs w:val="32"/>
        </w:rPr>
        <w:t>附件</w:t>
      </w:r>
      <w:r>
        <w:rPr>
          <w:rFonts w:ascii="仿宋" w:hAnsi="仿宋" w:eastAsia="仿宋" w:cs="仿宋_GB2312"/>
          <w:b/>
          <w:bCs/>
          <w:sz w:val="32"/>
          <w:szCs w:val="32"/>
        </w:rPr>
        <w:t xml:space="preserve">1  </w:t>
      </w:r>
      <w:r>
        <w:rPr>
          <w:rFonts w:hint="eastAsia" w:ascii="仿宋" w:hAnsi="仿宋" w:eastAsia="仿宋" w:cs="仿宋_GB2312"/>
          <w:b/>
          <w:bCs/>
          <w:sz w:val="32"/>
          <w:szCs w:val="32"/>
        </w:rPr>
        <w:t>投标人资格审查文件</w:t>
      </w:r>
    </w:p>
    <w:p w14:paraId="4907E0BE">
      <w:p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投标人要提交下列文件：</w:t>
      </w:r>
    </w:p>
    <w:p w14:paraId="68C889FA">
      <w:pPr>
        <w:numPr>
          <w:ilvl w:val="0"/>
          <w:numId w:val="1"/>
        </w:numPr>
        <w:spacing w:line="500" w:lineRule="exact"/>
        <w:rPr>
          <w:rFonts w:hint="eastAsia" w:ascii="仿宋" w:hAnsi="仿宋" w:eastAsia="仿宋" w:cs="仿宋_GB2312"/>
          <w:sz w:val="32"/>
          <w:szCs w:val="32"/>
        </w:rPr>
      </w:pPr>
      <w:r>
        <w:rPr>
          <w:rFonts w:hint="eastAsia" w:ascii="仿宋" w:hAnsi="仿宋" w:eastAsia="仿宋" w:cs="仿宋_GB2312"/>
          <w:color w:val="000000"/>
          <w:sz w:val="32"/>
          <w:szCs w:val="32"/>
        </w:rPr>
        <w:t>营业执照</w:t>
      </w:r>
      <w:r>
        <w:rPr>
          <w:rFonts w:hint="eastAsia" w:ascii="仿宋" w:hAnsi="仿宋" w:eastAsia="仿宋" w:cs="仿宋_GB2312"/>
          <w:color w:val="000000"/>
          <w:sz w:val="32"/>
          <w:szCs w:val="32"/>
          <w:lang w:val="en-US" w:eastAsia="zh-CN"/>
        </w:rPr>
        <w:t>复印件（加盖公章）</w:t>
      </w:r>
      <w:r>
        <w:rPr>
          <w:rFonts w:hint="eastAsia" w:ascii="仿宋" w:hAnsi="仿宋" w:eastAsia="仿宋" w:cs="仿宋_GB2312"/>
          <w:sz w:val="32"/>
          <w:szCs w:val="32"/>
        </w:rPr>
        <w:t>；</w:t>
      </w:r>
    </w:p>
    <w:p w14:paraId="23100E90">
      <w:pPr>
        <w:numPr>
          <w:ilvl w:val="0"/>
          <w:numId w:val="1"/>
        </w:num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lang w:val="en-US" w:eastAsia="zh-CN"/>
        </w:rPr>
        <w:t>授权委托书</w:t>
      </w:r>
      <w:r>
        <w:rPr>
          <w:rFonts w:hint="eastAsia" w:ascii="仿宋" w:hAnsi="仿宋" w:eastAsia="仿宋" w:cs="仿宋_GB2312"/>
          <w:color w:val="000000"/>
          <w:sz w:val="32"/>
          <w:szCs w:val="32"/>
        </w:rPr>
        <w:t>；</w:t>
      </w:r>
    </w:p>
    <w:p w14:paraId="4740A8D0">
      <w:pPr>
        <w:numPr>
          <w:ilvl w:val="0"/>
          <w:numId w:val="1"/>
        </w:num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lang w:val="en-US" w:eastAsia="zh-CN"/>
        </w:rPr>
        <w:t>法人、授权委托人身份证复印件</w:t>
      </w:r>
      <w:r>
        <w:rPr>
          <w:rFonts w:hint="eastAsia" w:ascii="仿宋" w:hAnsi="仿宋" w:eastAsia="仿宋" w:cs="仿宋_GB2312"/>
          <w:color w:val="000000"/>
          <w:sz w:val="32"/>
          <w:szCs w:val="32"/>
        </w:rPr>
        <w:t>；</w:t>
      </w:r>
    </w:p>
    <w:p w14:paraId="7270A79D">
      <w:pPr>
        <w:numPr>
          <w:ilvl w:val="0"/>
          <w:numId w:val="1"/>
        </w:numPr>
        <w:spacing w:line="500" w:lineRule="exact"/>
        <w:rPr>
          <w:rFonts w:ascii="仿宋" w:hAnsi="仿宋" w:eastAsia="仿宋" w:cs="仿宋_GB2312"/>
          <w:sz w:val="32"/>
          <w:szCs w:val="32"/>
        </w:rPr>
      </w:pPr>
      <w:r>
        <w:rPr>
          <w:rFonts w:hint="eastAsia" w:ascii="仿宋" w:hAnsi="仿宋" w:eastAsia="仿宋" w:cs="仿宋_GB2312"/>
          <w:color w:val="000000"/>
          <w:sz w:val="32"/>
          <w:szCs w:val="32"/>
        </w:rPr>
        <w:t>业绩及目前正在执行合同情况</w:t>
      </w:r>
      <w:r>
        <w:rPr>
          <w:rFonts w:ascii="仿宋" w:hAnsi="仿宋" w:eastAsia="仿宋" w:cs="仿宋_GB2312"/>
          <w:color w:val="000000"/>
          <w:sz w:val="32"/>
          <w:szCs w:val="32"/>
        </w:rPr>
        <w:t>(</w:t>
      </w:r>
      <w:r>
        <w:rPr>
          <w:rFonts w:hint="eastAsia" w:ascii="仿宋" w:hAnsi="仿宋" w:eastAsia="仿宋" w:cs="仿宋_GB2312"/>
          <w:color w:val="000000"/>
          <w:sz w:val="32"/>
          <w:szCs w:val="32"/>
        </w:rPr>
        <w:t>包括完成情况和出现的重要质量问题及改进措施</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r>
        <w:rPr>
          <w:rFonts w:ascii="仿宋" w:hAnsi="仿宋" w:eastAsia="仿宋" w:cs="仿宋_GB2312"/>
          <w:color w:val="000000"/>
          <w:sz w:val="32"/>
          <w:szCs w:val="32"/>
        </w:rPr>
        <w:tab/>
      </w:r>
      <w:r>
        <w:rPr>
          <w:rFonts w:ascii="仿宋" w:hAnsi="仿宋" w:eastAsia="仿宋" w:cs="仿宋_GB2312"/>
          <w:color w:val="000000"/>
          <w:sz w:val="32"/>
          <w:szCs w:val="32"/>
        </w:rPr>
        <w:t xml:space="preserve"> </w:t>
      </w:r>
    </w:p>
    <w:p w14:paraId="2F2DCDE0">
      <w:pPr>
        <w:numPr>
          <w:ilvl w:val="0"/>
          <w:numId w:val="1"/>
        </w:numPr>
        <w:spacing w:line="500" w:lineRule="exact"/>
        <w:rPr>
          <w:rFonts w:ascii="仿宋" w:hAnsi="仿宋" w:eastAsia="仿宋" w:cs="仿宋_GB2312"/>
          <w:sz w:val="32"/>
          <w:szCs w:val="32"/>
        </w:rPr>
      </w:pPr>
      <w:r>
        <w:rPr>
          <w:rFonts w:hint="eastAsia" w:ascii="仿宋" w:hAnsi="仿宋" w:eastAsia="仿宋" w:cs="仿宋_GB2312"/>
          <w:sz w:val="32"/>
          <w:szCs w:val="32"/>
        </w:rPr>
        <w:t>其它文件和资料。</w:t>
      </w:r>
    </w:p>
    <w:p w14:paraId="76ABE190">
      <w:pPr>
        <w:spacing w:line="500" w:lineRule="exact"/>
        <w:rPr>
          <w:rFonts w:ascii="仿宋" w:hAnsi="仿宋" w:eastAsia="仿宋" w:cs="仿宋_GB2312"/>
          <w:sz w:val="32"/>
          <w:szCs w:val="32"/>
        </w:rPr>
      </w:pPr>
    </w:p>
    <w:p w14:paraId="67DC46D0">
      <w:pPr>
        <w:spacing w:line="500" w:lineRule="exact"/>
        <w:rPr>
          <w:rFonts w:ascii="仿宋" w:hAnsi="仿宋" w:eastAsia="仿宋" w:cs="仿宋_GB2312"/>
          <w:sz w:val="32"/>
          <w:szCs w:val="32"/>
        </w:rPr>
      </w:pPr>
    </w:p>
    <w:p w14:paraId="37A50190">
      <w:pPr>
        <w:pStyle w:val="19"/>
        <w:spacing w:before="0" w:after="0" w:line="500" w:lineRule="exact"/>
        <w:jc w:val="both"/>
        <w:rPr>
          <w:rFonts w:hint="eastAsia" w:ascii="仿宋" w:hAnsi="仿宋" w:eastAsia="仿宋" w:cs="仿宋_GB2312"/>
          <w:sz w:val="32"/>
          <w:szCs w:val="32"/>
        </w:rPr>
      </w:pPr>
    </w:p>
    <w:p w14:paraId="5EECD556">
      <w:pPr>
        <w:pStyle w:val="19"/>
        <w:spacing w:before="0" w:after="0" w:line="500" w:lineRule="exact"/>
        <w:jc w:val="both"/>
        <w:rPr>
          <w:rFonts w:hint="eastAsia" w:ascii="仿宋" w:hAnsi="仿宋" w:eastAsia="仿宋" w:cs="仿宋_GB2312"/>
          <w:sz w:val="32"/>
          <w:szCs w:val="32"/>
        </w:rPr>
      </w:pPr>
    </w:p>
    <w:p w14:paraId="41FAEA21">
      <w:pPr>
        <w:pStyle w:val="19"/>
        <w:spacing w:before="0" w:after="0" w:line="500" w:lineRule="exact"/>
        <w:jc w:val="both"/>
        <w:rPr>
          <w:rFonts w:hint="eastAsia" w:ascii="仿宋" w:hAnsi="仿宋" w:eastAsia="仿宋" w:cs="仿宋_GB2312"/>
          <w:sz w:val="32"/>
          <w:szCs w:val="32"/>
        </w:rPr>
      </w:pPr>
    </w:p>
    <w:p w14:paraId="15444B94">
      <w:pPr>
        <w:pStyle w:val="19"/>
        <w:spacing w:before="0" w:after="0" w:line="500" w:lineRule="exact"/>
        <w:jc w:val="both"/>
        <w:rPr>
          <w:rFonts w:hint="eastAsia" w:ascii="仿宋" w:hAnsi="仿宋" w:eastAsia="仿宋" w:cs="仿宋_GB2312"/>
          <w:sz w:val="32"/>
          <w:szCs w:val="32"/>
        </w:rPr>
      </w:pPr>
    </w:p>
    <w:p w14:paraId="4DC12005">
      <w:pPr>
        <w:pStyle w:val="19"/>
        <w:spacing w:before="0" w:after="0" w:line="500" w:lineRule="exact"/>
        <w:jc w:val="both"/>
        <w:rPr>
          <w:rFonts w:hint="eastAsia" w:ascii="仿宋" w:hAnsi="仿宋" w:eastAsia="仿宋" w:cs="仿宋_GB2312"/>
          <w:sz w:val="32"/>
          <w:szCs w:val="32"/>
        </w:rPr>
      </w:pPr>
    </w:p>
    <w:p w14:paraId="27315F82">
      <w:pPr>
        <w:pStyle w:val="30"/>
        <w:ind w:firstLine="0" w:firstLineChars="0"/>
        <w:rPr>
          <w:rFonts w:hint="eastAsia"/>
        </w:rPr>
      </w:pPr>
    </w:p>
    <w:p w14:paraId="13BD81B5">
      <w:pPr>
        <w:pStyle w:val="30"/>
        <w:ind w:firstLine="0" w:firstLineChars="0"/>
        <w:rPr>
          <w:rFonts w:hint="eastAsia"/>
        </w:rPr>
      </w:pPr>
    </w:p>
    <w:p w14:paraId="43BC1E78">
      <w:pPr>
        <w:pStyle w:val="30"/>
        <w:ind w:firstLine="0" w:firstLineChars="0"/>
        <w:rPr>
          <w:rFonts w:hint="eastAsia"/>
        </w:rPr>
      </w:pPr>
    </w:p>
    <w:p w14:paraId="1679B27B">
      <w:pPr>
        <w:pStyle w:val="30"/>
        <w:ind w:firstLine="0" w:firstLineChars="0"/>
        <w:rPr>
          <w:rFonts w:hint="eastAsia"/>
        </w:rPr>
      </w:pPr>
    </w:p>
    <w:p w14:paraId="319153C0">
      <w:pPr>
        <w:pStyle w:val="30"/>
        <w:ind w:firstLine="0" w:firstLineChars="0"/>
        <w:rPr>
          <w:rFonts w:hint="eastAsia"/>
        </w:rPr>
      </w:pPr>
    </w:p>
    <w:p w14:paraId="2CDBB21C">
      <w:pPr>
        <w:pStyle w:val="30"/>
        <w:ind w:firstLine="0" w:firstLineChars="0"/>
        <w:rPr>
          <w:rFonts w:hint="eastAsia"/>
        </w:rPr>
      </w:pPr>
    </w:p>
    <w:p w14:paraId="794F0BA3">
      <w:pPr>
        <w:pStyle w:val="30"/>
        <w:ind w:firstLine="0" w:firstLineChars="0"/>
        <w:rPr>
          <w:rFonts w:hint="eastAsia"/>
        </w:rPr>
      </w:pPr>
    </w:p>
    <w:p w14:paraId="370B7B33">
      <w:pPr>
        <w:pStyle w:val="30"/>
        <w:ind w:firstLine="0" w:firstLineChars="0"/>
        <w:rPr>
          <w:rFonts w:hint="eastAsia"/>
        </w:rPr>
      </w:pPr>
    </w:p>
    <w:p w14:paraId="243EF1DD">
      <w:pPr>
        <w:pStyle w:val="30"/>
        <w:ind w:firstLine="0" w:firstLineChars="0"/>
        <w:rPr>
          <w:rFonts w:hint="eastAsia"/>
        </w:rPr>
      </w:pPr>
    </w:p>
    <w:p w14:paraId="7566CD43">
      <w:pPr>
        <w:pStyle w:val="30"/>
        <w:ind w:firstLine="0" w:firstLineChars="0"/>
        <w:rPr>
          <w:rFonts w:hint="eastAsia"/>
        </w:rPr>
      </w:pPr>
    </w:p>
    <w:p w14:paraId="2EC7910D">
      <w:pPr>
        <w:pStyle w:val="30"/>
        <w:ind w:firstLine="0" w:firstLineChars="0"/>
        <w:rPr>
          <w:rFonts w:hint="eastAsia"/>
        </w:rPr>
      </w:pPr>
    </w:p>
    <w:p w14:paraId="532975B5">
      <w:pPr>
        <w:pStyle w:val="19"/>
        <w:spacing w:before="0" w:after="0" w:line="500" w:lineRule="exact"/>
        <w:jc w:val="both"/>
        <w:rPr>
          <w:rFonts w:hint="eastAsia" w:ascii="仿宋" w:hAnsi="仿宋" w:eastAsia="仿宋" w:cs="仿宋_GB2312"/>
          <w:b/>
          <w:bCs/>
          <w:sz w:val="32"/>
          <w:szCs w:val="32"/>
        </w:rPr>
      </w:pPr>
    </w:p>
    <w:p w14:paraId="072A03B7">
      <w:pPr>
        <w:pStyle w:val="19"/>
        <w:spacing w:before="0" w:after="0" w:line="500" w:lineRule="exact"/>
        <w:jc w:val="both"/>
        <w:rPr>
          <w:rFonts w:hint="eastAsia" w:ascii="仿宋" w:hAnsi="仿宋" w:eastAsia="仿宋" w:cs="仿宋_GB2312"/>
          <w:b/>
          <w:bCs/>
          <w:sz w:val="32"/>
          <w:szCs w:val="32"/>
        </w:rPr>
      </w:pPr>
    </w:p>
    <w:p w14:paraId="29D0CF18">
      <w:pPr>
        <w:pStyle w:val="19"/>
        <w:spacing w:before="0" w:after="0" w:line="500" w:lineRule="exact"/>
        <w:jc w:val="both"/>
        <w:rPr>
          <w:rFonts w:hint="eastAsia" w:ascii="仿宋" w:hAnsi="仿宋" w:eastAsia="仿宋" w:cs="仿宋_GB2312"/>
          <w:b/>
          <w:bCs/>
          <w:sz w:val="32"/>
          <w:szCs w:val="32"/>
        </w:rPr>
      </w:pPr>
      <w:r>
        <w:rPr>
          <w:rFonts w:hint="eastAsia" w:ascii="仿宋" w:hAnsi="仿宋" w:eastAsia="仿宋" w:cs="仿宋_GB2312"/>
          <w:b/>
          <w:bCs/>
          <w:sz w:val="32"/>
          <w:szCs w:val="32"/>
        </w:rPr>
        <w:t>附件2投标人法定代表人授权书(格式)</w:t>
      </w:r>
    </w:p>
    <w:p w14:paraId="5723FD80">
      <w:pPr>
        <w:rPr>
          <w:rFonts w:hint="eastAsia" w:ascii="仿宋" w:hAnsi="仿宋" w:eastAsia="仿宋" w:cs="仿宋_GB2312"/>
          <w:b/>
          <w:bCs/>
          <w:sz w:val="32"/>
          <w:szCs w:val="32"/>
        </w:rPr>
      </w:pPr>
    </w:p>
    <w:p w14:paraId="46A51FC7">
      <w:pPr>
        <w:pStyle w:val="20"/>
        <w:ind w:firstLine="0" w:firstLineChars="0"/>
        <w:rPr>
          <w:rFonts w:hint="eastAsia" w:ascii="仿宋" w:hAnsi="仿宋" w:eastAsia="仿宋" w:cs="仿宋_GB2312"/>
          <w:b/>
          <w:bCs/>
          <w:sz w:val="32"/>
          <w:szCs w:val="32"/>
        </w:rPr>
      </w:pPr>
    </w:p>
    <w:p w14:paraId="00458DD0">
      <w:pPr>
        <w:pStyle w:val="19"/>
        <w:spacing w:before="0" w:after="0" w:line="500" w:lineRule="exact"/>
        <w:rPr>
          <w:rFonts w:ascii="仿宋" w:hAnsi="仿宋" w:eastAsia="仿宋" w:cs="仿宋_GB2312"/>
          <w:b/>
          <w:bCs/>
          <w:sz w:val="44"/>
          <w:szCs w:val="44"/>
        </w:rPr>
      </w:pPr>
      <w:r>
        <w:rPr>
          <w:rFonts w:hint="eastAsia" w:ascii="仿宋" w:hAnsi="仿宋" w:eastAsia="仿宋" w:cs="仿宋_GB2312"/>
          <w:b/>
          <w:bCs/>
          <w:sz w:val="44"/>
          <w:szCs w:val="44"/>
        </w:rPr>
        <w:t>投标人法定代表人授权书</w:t>
      </w:r>
    </w:p>
    <w:p w14:paraId="35E1A3E2">
      <w:pPr>
        <w:spacing w:line="500" w:lineRule="exact"/>
        <w:rPr>
          <w:rFonts w:hint="eastAsia" w:ascii="仿宋" w:hAnsi="仿宋" w:eastAsia="仿宋" w:cs="仿宋"/>
          <w:color w:val="000000"/>
          <w:sz w:val="32"/>
          <w:szCs w:val="32"/>
        </w:rPr>
      </w:pPr>
    </w:p>
    <w:p w14:paraId="10058BF3">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02340623">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6178ACF4">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61F03ADB">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491C774D">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2EC2DB40">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0B46385E">
      <w:pPr>
        <w:spacing w:line="500" w:lineRule="exact"/>
        <w:rPr>
          <w:rFonts w:hint="eastAsia" w:ascii="仿宋" w:hAnsi="仿宋" w:eastAsia="仿宋" w:cs="仿宋"/>
          <w:color w:val="000000"/>
          <w:sz w:val="32"/>
          <w:szCs w:val="32"/>
        </w:rPr>
      </w:pPr>
    </w:p>
    <w:p w14:paraId="3DFBBCD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4D54978E">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089FCC9F">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538766CA">
      <w:pPr>
        <w:pStyle w:val="19"/>
        <w:spacing w:before="0" w:after="0" w:line="500" w:lineRule="exact"/>
        <w:jc w:val="both"/>
        <w:rPr>
          <w:rFonts w:hint="eastAsia" w:ascii="仿宋" w:hAnsi="仿宋" w:eastAsia="仿宋" w:cs="仿宋"/>
          <w:sz w:val="32"/>
          <w:szCs w:val="32"/>
        </w:rPr>
      </w:pPr>
    </w:p>
    <w:p w14:paraId="35BBAD76">
      <w:pPr>
        <w:pStyle w:val="19"/>
        <w:spacing w:before="0" w:after="0" w:line="500" w:lineRule="exact"/>
        <w:jc w:val="both"/>
        <w:rPr>
          <w:rFonts w:ascii="仿宋" w:hAnsi="仿宋" w:eastAsia="仿宋"/>
          <w:sz w:val="32"/>
          <w:szCs w:val="32"/>
        </w:rPr>
      </w:pPr>
    </w:p>
    <w:p w14:paraId="799CB337">
      <w:pPr>
        <w:pStyle w:val="19"/>
        <w:spacing w:before="0" w:after="0" w:line="500" w:lineRule="exact"/>
        <w:jc w:val="both"/>
        <w:rPr>
          <w:rFonts w:ascii="仿宋" w:hAnsi="仿宋" w:eastAsia="仿宋"/>
          <w:sz w:val="32"/>
          <w:szCs w:val="32"/>
        </w:rPr>
      </w:pPr>
    </w:p>
    <w:p w14:paraId="6B9C574E">
      <w:pPr>
        <w:pStyle w:val="30"/>
        <w:ind w:firstLine="0" w:firstLineChars="0"/>
        <w:rPr>
          <w:rFonts w:hint="eastAsia" w:ascii="仿宋" w:hAnsi="仿宋" w:eastAsia="仿宋"/>
          <w:sz w:val="32"/>
          <w:szCs w:val="32"/>
        </w:rPr>
      </w:pPr>
    </w:p>
    <w:p w14:paraId="09EAD8DE">
      <w:pPr>
        <w:spacing w:line="700" w:lineRule="exact"/>
        <w:rPr>
          <w:rFonts w:hint="eastAsia" w:ascii="宋体" w:hAnsi="宋体" w:cs="宋体"/>
          <w:b/>
          <w:bCs/>
          <w:snapToGrid w:val="0"/>
          <w:sz w:val="32"/>
          <w:szCs w:val="32"/>
        </w:rPr>
      </w:pPr>
    </w:p>
    <w:p w14:paraId="0256BF7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snapToGrid w:val="0"/>
          <w:sz w:val="32"/>
          <w:szCs w:val="32"/>
        </w:rPr>
      </w:pPr>
      <w:r>
        <w:rPr>
          <w:rFonts w:hint="eastAsia" w:ascii="宋体" w:hAnsi="宋体" w:cs="宋体"/>
          <w:b/>
          <w:bCs/>
          <w:snapToGrid w:val="0"/>
          <w:sz w:val="32"/>
          <w:szCs w:val="32"/>
        </w:rPr>
        <w:t>附件3  廉政承诺书</w:t>
      </w:r>
    </w:p>
    <w:p w14:paraId="08B9885A">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5DC37F52">
      <w:pPr>
        <w:spacing w:line="480" w:lineRule="exact"/>
        <w:ind w:firstLine="640" w:firstLineChars="200"/>
        <w:rPr>
          <w:rFonts w:ascii="仿宋" w:hAnsi="仿宋" w:eastAsia="仿宋"/>
          <w:sz w:val="32"/>
          <w:szCs w:val="32"/>
        </w:rPr>
      </w:pPr>
    </w:p>
    <w:p w14:paraId="0C5EC33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4B7F57F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4B21CF1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780750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46AC23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4485367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7287A8E7">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4259EE9C">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F2E7229">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3E55987B">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5FDE0674">
      <w:pPr>
        <w:spacing w:line="420" w:lineRule="exact"/>
        <w:rPr>
          <w:rFonts w:ascii="仿宋" w:hAnsi="仿宋" w:eastAsia="仿宋"/>
          <w:sz w:val="32"/>
          <w:szCs w:val="32"/>
        </w:rPr>
      </w:pPr>
    </w:p>
    <w:p w14:paraId="1B9E4E4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6DAB076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71DAC863">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407B9D64">
      <w:pPr>
        <w:spacing w:line="420" w:lineRule="exact"/>
        <w:ind w:firstLine="640" w:firstLineChars="200"/>
        <w:rPr>
          <w:rFonts w:hint="eastAsia" w:ascii="仿宋" w:hAnsi="仿宋" w:eastAsia="仿宋"/>
          <w:sz w:val="32"/>
          <w:szCs w:val="32"/>
        </w:rPr>
      </w:pPr>
    </w:p>
    <w:p w14:paraId="4E16B537">
      <w:pPr>
        <w:spacing w:line="420" w:lineRule="exact"/>
        <w:ind w:firstLine="640" w:firstLineChars="200"/>
        <w:rPr>
          <w:rFonts w:hint="eastAsia" w:ascii="仿宋" w:hAnsi="仿宋" w:eastAsia="仿宋"/>
          <w:sz w:val="32"/>
          <w:szCs w:val="32"/>
        </w:rPr>
      </w:pPr>
    </w:p>
    <w:p w14:paraId="24ABE7DB">
      <w:pPr>
        <w:spacing w:line="700" w:lineRule="exact"/>
      </w:pPr>
      <w:r>
        <w:rPr>
          <w:rFonts w:hint="eastAsia" w:ascii="宋体" w:hAnsi="宋体" w:cs="宋体"/>
          <w:b/>
          <w:bCs/>
          <w:snapToGrid w:val="0"/>
          <w:sz w:val="32"/>
          <w:szCs w:val="32"/>
        </w:rPr>
        <w:t>附件4  报价单</w:t>
      </w:r>
    </w:p>
    <w:p w14:paraId="740F4E75">
      <w:pPr>
        <w:spacing w:line="360" w:lineRule="exact"/>
        <w:ind w:left="5067" w:hanging="5067" w:hangingChars="2413"/>
        <w:rPr>
          <w:rFonts w:hint="eastAsia" w:ascii="楷体_GB2312" w:hAnsi="华文中宋"/>
          <w:b/>
          <w:kern w:val="20"/>
          <w:sz w:val="24"/>
        </w:rPr>
      </w:pPr>
      <w:r>
        <w:drawing>
          <wp:anchor distT="0" distB="0" distL="114300" distR="114300" simplePos="0" relativeHeight="251659264" behindDoc="1" locked="0" layoutInCell="1" allowOverlap="1">
            <wp:simplePos x="0" y="0"/>
            <wp:positionH relativeFrom="column">
              <wp:posOffset>1114425</wp:posOffset>
            </wp:positionH>
            <wp:positionV relativeFrom="paragraph">
              <wp:posOffset>9525</wp:posOffset>
            </wp:positionV>
            <wp:extent cx="3314700" cy="485775"/>
            <wp:effectExtent l="0" t="0" r="0" b="9525"/>
            <wp:wrapSquare wrapText="bothSides"/>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8"/>
                    <a:stretch>
                      <a:fillRect/>
                    </a:stretch>
                  </pic:blipFill>
                  <pic:spPr>
                    <a:xfrm>
                      <a:off x="0" y="0"/>
                      <a:ext cx="3314700" cy="485775"/>
                    </a:xfrm>
                    <a:prstGeom prst="rect">
                      <a:avLst/>
                    </a:prstGeom>
                    <a:noFill/>
                    <a:ln>
                      <a:noFill/>
                    </a:ln>
                  </pic:spPr>
                </pic:pic>
              </a:graphicData>
            </a:graphic>
          </wp:anchor>
        </w:drawing>
      </w:r>
    </w:p>
    <w:p w14:paraId="6CBFE4AB">
      <w:pPr>
        <w:keepNext w:val="0"/>
        <w:keepLines w:val="0"/>
        <w:pageBreakBefore w:val="0"/>
        <w:widowControl/>
        <w:kinsoku/>
        <w:wordWrap/>
        <w:overflowPunct/>
        <w:topLinePunct w:val="0"/>
        <w:autoSpaceDE w:val="0"/>
        <w:autoSpaceDN w:val="0"/>
        <w:bidi w:val="0"/>
        <w:adjustRightInd/>
        <w:snapToGrid/>
        <w:spacing w:line="540" w:lineRule="exact"/>
        <w:jc w:val="center"/>
        <w:textAlignment w:val="bottom"/>
        <w:rPr>
          <w:rFonts w:hint="eastAsia" w:ascii="宋体" w:hAnsi="宋体" w:cs="Times New Roman"/>
          <w:b/>
          <w:kern w:val="20"/>
          <w:sz w:val="44"/>
          <w:szCs w:val="44"/>
        </w:rPr>
      </w:pPr>
      <w:r>
        <w:rPr>
          <w:rFonts w:hint="eastAsia" w:ascii="宋体" w:hAnsi="宋体"/>
          <w:b/>
          <w:kern w:val="20"/>
          <w:sz w:val="52"/>
          <w:szCs w:val="52"/>
        </w:rPr>
        <w:t xml:space="preserve">  </w:t>
      </w:r>
    </w:p>
    <w:p w14:paraId="1C63387B">
      <w:pPr>
        <w:keepNext w:val="0"/>
        <w:keepLines w:val="0"/>
        <w:pageBreakBefore w:val="0"/>
        <w:widowControl/>
        <w:kinsoku/>
        <w:wordWrap/>
        <w:overflowPunct/>
        <w:topLinePunct w:val="0"/>
        <w:autoSpaceDE w:val="0"/>
        <w:autoSpaceDN w:val="0"/>
        <w:bidi w:val="0"/>
        <w:adjustRightInd/>
        <w:snapToGrid/>
        <w:spacing w:after="157" w:afterLines="50" w:line="520" w:lineRule="exact"/>
        <w:jc w:val="center"/>
        <w:textAlignment w:val="bottom"/>
        <w:rPr>
          <w:rFonts w:hint="eastAsia"/>
        </w:rPr>
      </w:pPr>
      <w:r>
        <w:rPr>
          <w:rFonts w:hint="eastAsia" w:ascii="宋体" w:hAnsi="宋体" w:cs="Times New Roman"/>
          <w:b/>
          <w:kern w:val="20"/>
          <w:sz w:val="44"/>
          <w:szCs w:val="44"/>
          <w:lang w:val="en-US" w:eastAsia="zh-CN"/>
        </w:rPr>
        <w:t>危险废物物联网系统运维</w:t>
      </w:r>
      <w:r>
        <w:rPr>
          <w:rFonts w:hint="eastAsia" w:ascii="宋体" w:hAnsi="宋体" w:cs="Times New Roman"/>
          <w:b/>
          <w:kern w:val="20"/>
          <w:sz w:val="44"/>
          <w:szCs w:val="44"/>
        </w:rPr>
        <w:t>投标报价</w:t>
      </w:r>
      <w:r>
        <w:rPr>
          <w:rFonts w:hint="eastAsia" w:ascii="宋体" w:hAnsi="宋体"/>
          <w:b/>
          <w:kern w:val="20"/>
          <w:sz w:val="44"/>
          <w:szCs w:val="44"/>
        </w:rPr>
        <w:t>单</w:t>
      </w:r>
    </w:p>
    <w:tbl>
      <w:tblPr>
        <w:tblStyle w:val="22"/>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57"/>
        <w:gridCol w:w="2857"/>
        <w:gridCol w:w="1518"/>
        <w:gridCol w:w="1751"/>
        <w:gridCol w:w="1200"/>
      </w:tblGrid>
      <w:tr w14:paraId="30A9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18" w:type="pct"/>
            <w:noWrap w:val="0"/>
            <w:vAlign w:val="center"/>
          </w:tcPr>
          <w:p w14:paraId="4344EF4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序号</w:t>
            </w:r>
          </w:p>
        </w:tc>
        <w:tc>
          <w:tcPr>
            <w:tcW w:w="529" w:type="pct"/>
            <w:noWrap w:val="0"/>
            <w:vAlign w:val="center"/>
          </w:tcPr>
          <w:p w14:paraId="12AD3C9F">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名称</w:t>
            </w:r>
          </w:p>
        </w:tc>
        <w:tc>
          <w:tcPr>
            <w:tcW w:w="1580" w:type="pct"/>
            <w:noWrap w:val="0"/>
            <w:vAlign w:val="center"/>
          </w:tcPr>
          <w:p w14:paraId="18CFECFA">
            <w:pPr>
              <w:widowControl/>
              <w:jc w:val="center"/>
              <w:textAlignment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val="en-US" w:eastAsia="zh-CN" w:bidi="ar"/>
              </w:rPr>
              <w:t>业主单位</w:t>
            </w:r>
          </w:p>
        </w:tc>
        <w:tc>
          <w:tcPr>
            <w:tcW w:w="839" w:type="pct"/>
            <w:noWrap w:val="0"/>
            <w:vAlign w:val="center"/>
          </w:tcPr>
          <w:p w14:paraId="736D2C86">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服务期限</w:t>
            </w:r>
          </w:p>
        </w:tc>
        <w:tc>
          <w:tcPr>
            <w:tcW w:w="968" w:type="pct"/>
            <w:noWrap w:val="0"/>
            <w:vAlign w:val="center"/>
          </w:tcPr>
          <w:p w14:paraId="4FC20F30">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投标报价（元）</w:t>
            </w:r>
          </w:p>
        </w:tc>
        <w:tc>
          <w:tcPr>
            <w:tcW w:w="663" w:type="pct"/>
            <w:noWrap w:val="0"/>
            <w:vAlign w:val="center"/>
          </w:tcPr>
          <w:p w14:paraId="1600BAB2">
            <w:pPr>
              <w:widowControl/>
              <w:jc w:val="center"/>
              <w:textAlignment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bidi="ar"/>
              </w:rPr>
              <w:t>备注</w:t>
            </w:r>
          </w:p>
        </w:tc>
      </w:tr>
      <w:tr w14:paraId="5FD9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8" w:type="pct"/>
            <w:shd w:val="clear" w:color="auto" w:fill="auto"/>
            <w:noWrap w:val="0"/>
            <w:vAlign w:val="center"/>
          </w:tcPr>
          <w:p w14:paraId="0FA664A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529" w:type="pct"/>
            <w:vMerge w:val="restart"/>
            <w:shd w:val="clear" w:color="auto" w:fill="FFFFFF"/>
            <w:noWrap w:val="0"/>
            <w:vAlign w:val="center"/>
          </w:tcPr>
          <w:p w14:paraId="3BD15101">
            <w:pPr>
              <w:widowControl/>
              <w:jc w:val="center"/>
              <w:textAlignment w:val="center"/>
              <w:rPr>
                <w:rFonts w:hint="default" w:ascii="仿宋" w:hAnsi="仿宋" w:eastAsia="仿宋" w:cs="仿宋"/>
                <w:color w:val="000000"/>
                <w:kern w:val="0"/>
                <w:sz w:val="22"/>
                <w:szCs w:val="22"/>
                <w:lang w:val="en-US" w:eastAsia="zh-CN" w:bidi="ar"/>
              </w:rPr>
            </w:pPr>
            <w:r>
              <w:rPr>
                <w:rFonts w:hint="eastAsia" w:ascii="Times New Roman" w:hAnsi="Times New Roman" w:eastAsia="仿宋" w:cs="Times New Roman"/>
                <w:color w:val="auto"/>
                <w:lang w:val="en-US" w:eastAsia="zh-CN"/>
              </w:rPr>
              <w:t>危险废物物联网系统运维</w:t>
            </w:r>
          </w:p>
        </w:tc>
        <w:tc>
          <w:tcPr>
            <w:tcW w:w="1580" w:type="pct"/>
            <w:shd w:val="clear" w:color="auto" w:fill="FFFFFF"/>
            <w:noWrap w:val="0"/>
            <w:vAlign w:val="center"/>
          </w:tcPr>
          <w:p w14:paraId="5FDAD335">
            <w:pPr>
              <w:widowControl/>
              <w:jc w:val="center"/>
              <w:textAlignment w:val="center"/>
              <w:rPr>
                <w:rFonts w:hint="default" w:ascii="仿宋" w:hAnsi="仿宋" w:eastAsia="仿宋" w:cs="仿宋"/>
                <w:color w:val="000000"/>
                <w:kern w:val="0"/>
                <w:sz w:val="22"/>
                <w:szCs w:val="22"/>
                <w:lang w:val="en-US" w:eastAsia="zh-CN" w:bidi="ar"/>
              </w:rPr>
            </w:pPr>
            <w:r>
              <w:rPr>
                <w:rFonts w:hint="eastAsia" w:eastAsia="仿宋"/>
                <w:color w:val="auto"/>
                <w:lang w:val="en-US" w:eastAsia="zh-CN"/>
              </w:rPr>
              <w:t>万基发电</w:t>
            </w:r>
          </w:p>
        </w:tc>
        <w:tc>
          <w:tcPr>
            <w:tcW w:w="839" w:type="pct"/>
            <w:shd w:val="clear" w:color="auto" w:fill="FFFFFF"/>
            <w:noWrap w:val="0"/>
            <w:vAlign w:val="center"/>
          </w:tcPr>
          <w:p w14:paraId="0EC8D5CE">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49C5A4C3">
            <w:pPr>
              <w:widowControl/>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32B1D448">
            <w:pPr>
              <w:widowControl/>
              <w:jc w:val="center"/>
              <w:textAlignment w:val="center"/>
              <w:rPr>
                <w:rFonts w:ascii="仿宋" w:hAnsi="仿宋" w:eastAsia="仿宋" w:cs="仿宋"/>
                <w:color w:val="000000"/>
                <w:kern w:val="0"/>
                <w:sz w:val="22"/>
                <w:szCs w:val="22"/>
                <w:lang w:bidi="ar"/>
              </w:rPr>
            </w:pPr>
          </w:p>
        </w:tc>
      </w:tr>
      <w:tr w14:paraId="468B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8" w:type="pct"/>
            <w:shd w:val="clear" w:color="auto" w:fill="auto"/>
            <w:noWrap w:val="0"/>
            <w:vAlign w:val="center"/>
          </w:tcPr>
          <w:p w14:paraId="791F1D40">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529" w:type="pct"/>
            <w:vMerge w:val="continue"/>
            <w:tcBorders/>
            <w:shd w:val="clear" w:color="auto" w:fill="FFFFFF"/>
            <w:noWrap w:val="0"/>
            <w:vAlign w:val="center"/>
          </w:tcPr>
          <w:p w14:paraId="4C2B101E">
            <w:pPr>
              <w:widowControl/>
              <w:jc w:val="center"/>
              <w:textAlignment w:val="center"/>
              <w:rPr>
                <w:rFonts w:hint="eastAsia" w:ascii="Times New Roman" w:hAnsi="Times New Roman" w:eastAsia="仿宋" w:cs="Times New Roman"/>
                <w:color w:val="auto"/>
                <w:lang w:val="en-US" w:eastAsia="zh-CN"/>
              </w:rPr>
            </w:pPr>
          </w:p>
        </w:tc>
        <w:tc>
          <w:tcPr>
            <w:tcW w:w="1580" w:type="pct"/>
            <w:shd w:val="clear" w:color="auto" w:fill="FFFFFF"/>
            <w:noWrap w:val="0"/>
            <w:vAlign w:val="center"/>
          </w:tcPr>
          <w:p w14:paraId="4CC47A71">
            <w:pPr>
              <w:widowControl/>
              <w:jc w:val="center"/>
              <w:textAlignment w:val="center"/>
              <w:rPr>
                <w:rFonts w:hint="eastAsia" w:eastAsia="仿宋"/>
                <w:color w:val="auto"/>
                <w:lang w:val="en-US" w:eastAsia="zh-CN"/>
              </w:rPr>
            </w:pPr>
            <w:r>
              <w:rPr>
                <w:rFonts w:hint="eastAsia" w:eastAsia="仿宋"/>
                <w:color w:val="auto"/>
                <w:lang w:val="en-US" w:eastAsia="zh-CN"/>
              </w:rPr>
              <w:t>一铝（一炭、板锭、铸轧共用）</w:t>
            </w:r>
          </w:p>
        </w:tc>
        <w:tc>
          <w:tcPr>
            <w:tcW w:w="839" w:type="pct"/>
            <w:shd w:val="clear" w:color="auto" w:fill="FFFFFF"/>
            <w:noWrap w:val="0"/>
            <w:vAlign w:val="center"/>
          </w:tcPr>
          <w:p w14:paraId="3E1F8170">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6A7685E0">
            <w:pPr>
              <w:widowControl/>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3A087368">
            <w:pPr>
              <w:widowControl/>
              <w:jc w:val="center"/>
              <w:textAlignment w:val="center"/>
              <w:rPr>
                <w:rFonts w:ascii="仿宋" w:hAnsi="仿宋" w:eastAsia="仿宋" w:cs="仿宋"/>
                <w:color w:val="000000"/>
                <w:kern w:val="0"/>
                <w:sz w:val="22"/>
                <w:szCs w:val="22"/>
                <w:lang w:bidi="ar"/>
              </w:rPr>
            </w:pPr>
          </w:p>
        </w:tc>
      </w:tr>
      <w:tr w14:paraId="235B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8" w:type="pct"/>
            <w:shd w:val="clear" w:color="auto" w:fill="auto"/>
            <w:noWrap w:val="0"/>
            <w:vAlign w:val="center"/>
          </w:tcPr>
          <w:p w14:paraId="42BB8BF9">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w:t>
            </w:r>
          </w:p>
        </w:tc>
        <w:tc>
          <w:tcPr>
            <w:tcW w:w="529" w:type="pct"/>
            <w:vMerge w:val="continue"/>
            <w:tcBorders/>
            <w:shd w:val="clear" w:color="auto" w:fill="FFFFFF"/>
            <w:noWrap w:val="0"/>
            <w:vAlign w:val="center"/>
          </w:tcPr>
          <w:p w14:paraId="671A75FF">
            <w:pPr>
              <w:widowControl/>
              <w:jc w:val="center"/>
              <w:textAlignment w:val="center"/>
              <w:rPr>
                <w:rFonts w:hint="eastAsia" w:ascii="Times New Roman" w:hAnsi="Times New Roman" w:eastAsia="仿宋" w:cs="Times New Roman"/>
                <w:color w:val="auto"/>
                <w:lang w:val="en-US" w:eastAsia="zh-CN"/>
              </w:rPr>
            </w:pPr>
          </w:p>
        </w:tc>
        <w:tc>
          <w:tcPr>
            <w:tcW w:w="1580" w:type="pct"/>
            <w:shd w:val="clear" w:color="auto" w:fill="FFFFFF"/>
            <w:noWrap w:val="0"/>
            <w:vAlign w:val="center"/>
          </w:tcPr>
          <w:p w14:paraId="45690695">
            <w:pPr>
              <w:widowControl/>
              <w:jc w:val="center"/>
              <w:textAlignment w:val="center"/>
              <w:rPr>
                <w:rFonts w:hint="eastAsia" w:eastAsia="仿宋"/>
                <w:color w:val="auto"/>
                <w:lang w:val="en-US" w:eastAsia="zh-CN"/>
              </w:rPr>
            </w:pPr>
            <w:r>
              <w:rPr>
                <w:rFonts w:hint="eastAsia" w:eastAsia="仿宋"/>
                <w:color w:val="auto"/>
                <w:lang w:val="en-US" w:eastAsia="zh-CN"/>
              </w:rPr>
              <w:t>二铝</w:t>
            </w:r>
          </w:p>
        </w:tc>
        <w:tc>
          <w:tcPr>
            <w:tcW w:w="839" w:type="pct"/>
            <w:shd w:val="clear" w:color="auto" w:fill="FFFFFF"/>
            <w:noWrap w:val="0"/>
            <w:vAlign w:val="center"/>
          </w:tcPr>
          <w:p w14:paraId="36B55416">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2B24F5C1">
            <w:pPr>
              <w:widowControl/>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1365DFD2">
            <w:pPr>
              <w:widowControl/>
              <w:jc w:val="center"/>
              <w:textAlignment w:val="center"/>
              <w:rPr>
                <w:rFonts w:ascii="仿宋" w:hAnsi="仿宋" w:eastAsia="仿宋" w:cs="仿宋"/>
                <w:color w:val="000000"/>
                <w:kern w:val="0"/>
                <w:sz w:val="22"/>
                <w:szCs w:val="22"/>
                <w:lang w:bidi="ar"/>
              </w:rPr>
            </w:pPr>
          </w:p>
        </w:tc>
      </w:tr>
      <w:tr w14:paraId="42B3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18" w:type="pct"/>
            <w:shd w:val="clear" w:color="auto" w:fill="auto"/>
            <w:noWrap w:val="0"/>
            <w:vAlign w:val="center"/>
          </w:tcPr>
          <w:p w14:paraId="0C0A3811">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529" w:type="pct"/>
            <w:vMerge w:val="continue"/>
            <w:tcBorders/>
            <w:shd w:val="clear" w:color="auto" w:fill="FFFFFF"/>
            <w:noWrap w:val="0"/>
            <w:vAlign w:val="center"/>
          </w:tcPr>
          <w:p w14:paraId="1ED85CCC">
            <w:pPr>
              <w:widowControl/>
              <w:jc w:val="center"/>
              <w:textAlignment w:val="center"/>
              <w:rPr>
                <w:rFonts w:hint="eastAsia" w:ascii="Times New Roman" w:hAnsi="Times New Roman" w:eastAsia="仿宋" w:cs="Times New Roman"/>
                <w:color w:val="auto"/>
                <w:lang w:val="en-US" w:eastAsia="zh-CN"/>
              </w:rPr>
            </w:pPr>
          </w:p>
        </w:tc>
        <w:tc>
          <w:tcPr>
            <w:tcW w:w="1580" w:type="pct"/>
            <w:shd w:val="clear" w:color="auto" w:fill="FFFFFF"/>
            <w:noWrap w:val="0"/>
            <w:vAlign w:val="center"/>
          </w:tcPr>
          <w:p w14:paraId="120257FD">
            <w:pPr>
              <w:widowControl/>
              <w:jc w:val="center"/>
              <w:textAlignment w:val="center"/>
              <w:rPr>
                <w:rFonts w:hint="eastAsia" w:eastAsia="仿宋"/>
                <w:color w:val="auto"/>
                <w:lang w:val="en-US" w:eastAsia="zh-CN"/>
              </w:rPr>
            </w:pPr>
            <w:r>
              <w:rPr>
                <w:rFonts w:hint="eastAsia" w:eastAsia="仿宋"/>
                <w:color w:val="auto"/>
                <w:lang w:val="en-US" w:eastAsia="zh-CN"/>
              </w:rPr>
              <w:t>二炭</w:t>
            </w:r>
          </w:p>
        </w:tc>
        <w:tc>
          <w:tcPr>
            <w:tcW w:w="839" w:type="pct"/>
            <w:shd w:val="clear" w:color="auto" w:fill="FFFFFF"/>
            <w:noWrap w:val="0"/>
            <w:vAlign w:val="center"/>
          </w:tcPr>
          <w:p w14:paraId="52215436">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59F01322">
            <w:pPr>
              <w:widowControl/>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0D98CD8A">
            <w:pPr>
              <w:widowControl/>
              <w:jc w:val="center"/>
              <w:textAlignment w:val="center"/>
              <w:rPr>
                <w:rFonts w:ascii="仿宋" w:hAnsi="仿宋" w:eastAsia="仿宋" w:cs="仿宋"/>
                <w:color w:val="000000"/>
                <w:kern w:val="0"/>
                <w:sz w:val="22"/>
                <w:szCs w:val="22"/>
                <w:lang w:bidi="ar"/>
              </w:rPr>
            </w:pPr>
          </w:p>
        </w:tc>
      </w:tr>
      <w:tr w14:paraId="7289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8" w:type="pct"/>
            <w:shd w:val="clear" w:color="auto" w:fill="auto"/>
            <w:noWrap w:val="0"/>
            <w:vAlign w:val="center"/>
          </w:tcPr>
          <w:p w14:paraId="6E048C4D">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w:t>
            </w:r>
          </w:p>
        </w:tc>
        <w:tc>
          <w:tcPr>
            <w:tcW w:w="529" w:type="pct"/>
            <w:vMerge w:val="continue"/>
            <w:tcBorders/>
            <w:shd w:val="clear" w:color="auto" w:fill="FFFFFF"/>
            <w:noWrap w:val="0"/>
            <w:vAlign w:val="center"/>
          </w:tcPr>
          <w:p w14:paraId="6C1C95C3">
            <w:pPr>
              <w:widowControl/>
              <w:jc w:val="center"/>
              <w:textAlignment w:val="center"/>
              <w:rPr>
                <w:rFonts w:hint="eastAsia" w:ascii="Times New Roman" w:hAnsi="Times New Roman" w:eastAsia="仿宋" w:cs="Times New Roman"/>
                <w:color w:val="auto"/>
                <w:lang w:val="en-US" w:eastAsia="zh-CN"/>
              </w:rPr>
            </w:pPr>
          </w:p>
        </w:tc>
        <w:tc>
          <w:tcPr>
            <w:tcW w:w="1580" w:type="pct"/>
            <w:shd w:val="clear" w:color="auto" w:fill="FFFFFF"/>
            <w:noWrap w:val="0"/>
            <w:vAlign w:val="center"/>
          </w:tcPr>
          <w:p w14:paraId="6AE2C6AC">
            <w:pPr>
              <w:widowControl/>
              <w:jc w:val="center"/>
              <w:textAlignment w:val="center"/>
              <w:rPr>
                <w:rFonts w:hint="eastAsia" w:eastAsia="仿宋"/>
                <w:color w:val="auto"/>
                <w:lang w:val="en-US" w:eastAsia="zh-CN"/>
              </w:rPr>
            </w:pPr>
            <w:r>
              <w:rPr>
                <w:rFonts w:hint="eastAsia" w:eastAsia="仿宋"/>
                <w:color w:val="auto"/>
                <w:lang w:val="en-US" w:eastAsia="zh-CN"/>
              </w:rPr>
              <w:t>石墨</w:t>
            </w:r>
          </w:p>
        </w:tc>
        <w:tc>
          <w:tcPr>
            <w:tcW w:w="839" w:type="pct"/>
            <w:shd w:val="clear" w:color="auto" w:fill="FFFFFF"/>
            <w:noWrap w:val="0"/>
            <w:vAlign w:val="center"/>
          </w:tcPr>
          <w:p w14:paraId="4ABF197D">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51C6D104">
            <w:pPr>
              <w:widowControl/>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65E9ADC0">
            <w:pPr>
              <w:widowControl/>
              <w:jc w:val="center"/>
              <w:textAlignment w:val="center"/>
              <w:rPr>
                <w:rFonts w:ascii="仿宋" w:hAnsi="仿宋" w:eastAsia="仿宋" w:cs="仿宋"/>
                <w:color w:val="000000"/>
                <w:kern w:val="0"/>
                <w:sz w:val="22"/>
                <w:szCs w:val="22"/>
                <w:lang w:bidi="ar"/>
              </w:rPr>
            </w:pPr>
          </w:p>
        </w:tc>
      </w:tr>
      <w:tr w14:paraId="5105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8" w:type="pct"/>
            <w:shd w:val="clear" w:color="auto" w:fill="auto"/>
            <w:noWrap w:val="0"/>
            <w:vAlign w:val="center"/>
          </w:tcPr>
          <w:p w14:paraId="1AED080B">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529" w:type="pct"/>
            <w:vMerge w:val="continue"/>
            <w:tcBorders/>
            <w:shd w:val="clear" w:color="auto" w:fill="FFFFFF"/>
            <w:noWrap w:val="0"/>
            <w:vAlign w:val="center"/>
          </w:tcPr>
          <w:p w14:paraId="380E105A">
            <w:pPr>
              <w:widowControl/>
              <w:jc w:val="center"/>
              <w:textAlignment w:val="center"/>
              <w:rPr>
                <w:rFonts w:hint="eastAsia" w:ascii="Times New Roman" w:hAnsi="Times New Roman" w:eastAsia="仿宋" w:cs="Times New Roman"/>
                <w:color w:val="auto"/>
                <w:lang w:val="en-US" w:eastAsia="zh-CN"/>
              </w:rPr>
            </w:pPr>
          </w:p>
        </w:tc>
        <w:tc>
          <w:tcPr>
            <w:tcW w:w="1580" w:type="pct"/>
            <w:shd w:val="clear" w:color="auto" w:fill="FFFFFF"/>
            <w:noWrap w:val="0"/>
            <w:vAlign w:val="center"/>
          </w:tcPr>
          <w:p w14:paraId="6F90649E">
            <w:pPr>
              <w:widowControl/>
              <w:jc w:val="center"/>
              <w:textAlignment w:val="center"/>
              <w:rPr>
                <w:rFonts w:hint="eastAsia" w:eastAsia="仿宋"/>
                <w:color w:val="auto"/>
                <w:lang w:val="en-US" w:eastAsia="zh-CN"/>
              </w:rPr>
            </w:pPr>
            <w:r>
              <w:rPr>
                <w:rFonts w:hint="eastAsia" w:eastAsia="仿宋"/>
                <w:color w:val="auto"/>
                <w:lang w:val="en-US" w:eastAsia="zh-CN"/>
              </w:rPr>
              <w:t>铝加工</w:t>
            </w:r>
          </w:p>
        </w:tc>
        <w:tc>
          <w:tcPr>
            <w:tcW w:w="839" w:type="pct"/>
            <w:shd w:val="clear" w:color="auto" w:fill="FFFFFF"/>
            <w:noWrap w:val="0"/>
            <w:vAlign w:val="center"/>
          </w:tcPr>
          <w:p w14:paraId="52A158E4">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4FDE7794">
            <w:pPr>
              <w:widowControl/>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57063C1C">
            <w:pPr>
              <w:widowControl/>
              <w:jc w:val="center"/>
              <w:textAlignment w:val="center"/>
              <w:rPr>
                <w:rFonts w:ascii="仿宋" w:hAnsi="仿宋" w:eastAsia="仿宋" w:cs="仿宋"/>
                <w:color w:val="000000"/>
                <w:kern w:val="0"/>
                <w:sz w:val="22"/>
                <w:szCs w:val="22"/>
                <w:lang w:bidi="ar"/>
              </w:rPr>
            </w:pPr>
          </w:p>
        </w:tc>
      </w:tr>
      <w:tr w14:paraId="0C0D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8" w:type="pct"/>
            <w:shd w:val="clear" w:color="auto" w:fill="auto"/>
            <w:noWrap w:val="0"/>
            <w:vAlign w:val="center"/>
          </w:tcPr>
          <w:p w14:paraId="151737D3">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7</w:t>
            </w:r>
          </w:p>
        </w:tc>
        <w:tc>
          <w:tcPr>
            <w:tcW w:w="529" w:type="pct"/>
            <w:vMerge w:val="continue"/>
            <w:tcBorders/>
            <w:shd w:val="clear" w:color="auto" w:fill="FFFFFF"/>
            <w:noWrap w:val="0"/>
            <w:vAlign w:val="center"/>
          </w:tcPr>
          <w:p w14:paraId="106CDAE0">
            <w:pPr>
              <w:widowControl/>
              <w:jc w:val="center"/>
              <w:textAlignment w:val="center"/>
              <w:rPr>
                <w:rFonts w:hint="eastAsia" w:ascii="Times New Roman" w:hAnsi="Times New Roman" w:eastAsia="仿宋" w:cs="Times New Roman"/>
                <w:color w:val="auto"/>
                <w:lang w:val="en-US" w:eastAsia="zh-CN"/>
              </w:rPr>
            </w:pPr>
          </w:p>
        </w:tc>
        <w:tc>
          <w:tcPr>
            <w:tcW w:w="1580" w:type="pct"/>
            <w:shd w:val="clear" w:color="auto" w:fill="FFFFFF"/>
            <w:noWrap w:val="0"/>
            <w:vAlign w:val="center"/>
          </w:tcPr>
          <w:p w14:paraId="2EEC867E">
            <w:pPr>
              <w:widowControl/>
              <w:jc w:val="center"/>
              <w:textAlignment w:val="center"/>
              <w:rPr>
                <w:rFonts w:hint="eastAsia" w:eastAsia="仿宋"/>
                <w:color w:val="auto"/>
                <w:lang w:val="en-US" w:eastAsia="zh-CN"/>
              </w:rPr>
            </w:pPr>
            <w:r>
              <w:rPr>
                <w:rFonts w:hint="eastAsia" w:eastAsia="仿宋"/>
                <w:color w:val="auto"/>
                <w:lang w:val="en-US" w:eastAsia="zh-CN"/>
              </w:rPr>
              <w:t>铝钛合金</w:t>
            </w:r>
          </w:p>
        </w:tc>
        <w:tc>
          <w:tcPr>
            <w:tcW w:w="839" w:type="pct"/>
            <w:shd w:val="clear" w:color="auto" w:fill="FFFFFF"/>
            <w:noWrap w:val="0"/>
            <w:vAlign w:val="center"/>
          </w:tcPr>
          <w:p w14:paraId="3DFC6207">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231BBFDD">
            <w:pPr>
              <w:widowControl/>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125A05E0">
            <w:pPr>
              <w:widowControl/>
              <w:jc w:val="center"/>
              <w:textAlignment w:val="center"/>
              <w:rPr>
                <w:rFonts w:ascii="仿宋" w:hAnsi="仿宋" w:eastAsia="仿宋" w:cs="仿宋"/>
                <w:color w:val="000000"/>
                <w:kern w:val="0"/>
                <w:sz w:val="22"/>
                <w:szCs w:val="22"/>
                <w:lang w:bidi="ar"/>
              </w:rPr>
            </w:pPr>
          </w:p>
        </w:tc>
      </w:tr>
      <w:tr w14:paraId="371D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8" w:type="pct"/>
            <w:shd w:val="clear" w:color="auto" w:fill="auto"/>
            <w:noWrap w:val="0"/>
            <w:vAlign w:val="center"/>
          </w:tcPr>
          <w:p w14:paraId="2251B480">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8</w:t>
            </w:r>
          </w:p>
        </w:tc>
        <w:tc>
          <w:tcPr>
            <w:tcW w:w="529" w:type="pct"/>
            <w:vMerge w:val="continue"/>
            <w:tcBorders/>
            <w:shd w:val="clear" w:color="auto" w:fill="FFFFFF"/>
            <w:noWrap w:val="0"/>
            <w:vAlign w:val="center"/>
          </w:tcPr>
          <w:p w14:paraId="1F5D0A3A">
            <w:pPr>
              <w:widowControl/>
              <w:jc w:val="center"/>
              <w:textAlignment w:val="center"/>
              <w:rPr>
                <w:rFonts w:hint="eastAsia" w:ascii="Times New Roman" w:hAnsi="Times New Roman" w:eastAsia="仿宋" w:cs="Times New Roman"/>
                <w:color w:val="auto"/>
                <w:lang w:val="en-US" w:eastAsia="zh-CN"/>
              </w:rPr>
            </w:pPr>
          </w:p>
        </w:tc>
        <w:tc>
          <w:tcPr>
            <w:tcW w:w="1580" w:type="pct"/>
            <w:shd w:val="clear" w:color="auto" w:fill="FFFFFF"/>
            <w:noWrap w:val="0"/>
            <w:vAlign w:val="center"/>
          </w:tcPr>
          <w:p w14:paraId="05C0CF2A">
            <w:pPr>
              <w:widowControl/>
              <w:jc w:val="center"/>
              <w:textAlignment w:val="center"/>
              <w:rPr>
                <w:rFonts w:hint="eastAsia" w:eastAsia="仿宋"/>
                <w:color w:val="auto"/>
                <w:lang w:val="en-US" w:eastAsia="zh-CN"/>
              </w:rPr>
            </w:pPr>
            <w:r>
              <w:rPr>
                <w:rFonts w:hint="eastAsia" w:eastAsia="仿宋"/>
                <w:color w:val="auto"/>
                <w:lang w:val="en-US" w:eastAsia="zh-CN"/>
              </w:rPr>
              <w:t>棒材厂</w:t>
            </w:r>
          </w:p>
        </w:tc>
        <w:tc>
          <w:tcPr>
            <w:tcW w:w="839" w:type="pct"/>
            <w:shd w:val="clear" w:color="auto" w:fill="FFFFFF"/>
            <w:noWrap w:val="0"/>
            <w:vAlign w:val="center"/>
          </w:tcPr>
          <w:p w14:paraId="16C33727">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11个月</w:t>
            </w:r>
          </w:p>
        </w:tc>
        <w:tc>
          <w:tcPr>
            <w:tcW w:w="968" w:type="pct"/>
            <w:shd w:val="clear" w:color="auto" w:fill="FFFFFF"/>
            <w:noWrap w:val="0"/>
            <w:vAlign w:val="center"/>
          </w:tcPr>
          <w:p w14:paraId="691F8D2A">
            <w:pPr>
              <w:widowControl/>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4DFCB34D">
            <w:pPr>
              <w:widowControl/>
              <w:jc w:val="center"/>
              <w:textAlignment w:val="center"/>
              <w:rPr>
                <w:rFonts w:ascii="仿宋" w:hAnsi="仿宋" w:eastAsia="仿宋" w:cs="仿宋"/>
                <w:color w:val="000000"/>
                <w:kern w:val="0"/>
                <w:sz w:val="22"/>
                <w:szCs w:val="22"/>
                <w:lang w:bidi="ar"/>
              </w:rPr>
            </w:pPr>
          </w:p>
        </w:tc>
      </w:tr>
      <w:tr w14:paraId="1799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000" w:type="pct"/>
            <w:gridSpan w:val="6"/>
            <w:noWrap w:val="0"/>
            <w:vAlign w:val="center"/>
          </w:tcPr>
          <w:p w14:paraId="5D32AB4D">
            <w:pPr>
              <w:tabs>
                <w:tab w:val="left" w:pos="1452"/>
              </w:tabs>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合计</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 xml:space="preserve">大写（人民币）                            </w:t>
            </w:r>
            <w:r>
              <w:rPr>
                <w:rFonts w:hint="eastAsia" w:ascii="宋体" w:hAnsi="宋体" w:cs="宋体"/>
                <w:color w:val="000000"/>
                <w:kern w:val="0"/>
                <w:sz w:val="22"/>
                <w:szCs w:val="22"/>
                <w:lang w:bidi="ar"/>
              </w:rPr>
              <w:t>¥</w:t>
            </w:r>
            <w:r>
              <w:rPr>
                <w:rFonts w:hint="eastAsia" w:ascii="仿宋" w:hAnsi="仿宋" w:eastAsia="仿宋" w:cs="仿宋"/>
                <w:color w:val="000000"/>
                <w:kern w:val="0"/>
                <w:sz w:val="22"/>
                <w:szCs w:val="22"/>
                <w:lang w:bidi="ar"/>
              </w:rPr>
              <w:t>：          .00元</w:t>
            </w:r>
          </w:p>
        </w:tc>
      </w:tr>
      <w:tr w14:paraId="3E1E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00" w:type="pct"/>
            <w:gridSpan w:val="6"/>
            <w:noWrap w:val="0"/>
            <w:vAlign w:val="center"/>
          </w:tcPr>
          <w:p w14:paraId="1F49C1C1">
            <w:pPr>
              <w:tabs>
                <w:tab w:val="left" w:pos="1452"/>
              </w:tabs>
              <w:jc w:val="left"/>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备注：棒材厂可能因生产调整停产，具体服务时间以实际服务时间为准。</w:t>
            </w:r>
          </w:p>
        </w:tc>
      </w:tr>
    </w:tbl>
    <w:p w14:paraId="028EEB8F">
      <w:pPr>
        <w:keepNext w:val="0"/>
        <w:keepLines w:val="0"/>
        <w:pageBreakBefore w:val="0"/>
        <w:widowControl w:val="0"/>
        <w:tabs>
          <w:tab w:val="left" w:pos="6945"/>
        </w:tabs>
        <w:kinsoku/>
        <w:wordWrap/>
        <w:overflowPunct/>
        <w:topLinePunct w:val="0"/>
        <w:autoSpaceDE/>
        <w:autoSpaceDN/>
        <w:bidi w:val="0"/>
        <w:adjustRightInd/>
        <w:snapToGrid/>
        <w:spacing w:line="440" w:lineRule="exact"/>
        <w:ind w:left="-1" w:leftChars="-95" w:hanging="198" w:hangingChars="71"/>
        <w:textAlignment w:val="auto"/>
        <w:rPr>
          <w:sz w:val="28"/>
          <w:szCs w:val="28"/>
        </w:rPr>
      </w:pPr>
      <w:r>
        <w:rPr>
          <w:rFonts w:hint="eastAsia" w:ascii="仿宋" w:hAnsi="仿宋" w:eastAsia="仿宋"/>
          <w:sz w:val="28"/>
          <w:szCs w:val="28"/>
        </w:rPr>
        <w:t>报价说明：</w:t>
      </w:r>
    </w:p>
    <w:p w14:paraId="45164BE6">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40" w:lineRule="exact"/>
        <w:ind w:left="-197" w:leftChars="-94"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rPr>
        <w:t>招标文件及合同条款我公司已仔细阅读，完全响应招标文件、</w:t>
      </w:r>
      <w:r>
        <w:rPr>
          <w:rFonts w:hint="eastAsia" w:ascii="仿宋" w:hAnsi="仿宋" w:eastAsia="仿宋"/>
          <w:color w:val="auto"/>
          <w:sz w:val="28"/>
          <w:szCs w:val="28"/>
          <w:lang w:eastAsia="zh-CN"/>
        </w:rPr>
        <w:t>技术</w:t>
      </w:r>
      <w:r>
        <w:rPr>
          <w:rFonts w:hint="eastAsia" w:ascii="仿宋" w:hAnsi="仿宋" w:eastAsia="仿宋"/>
          <w:color w:val="auto"/>
          <w:sz w:val="28"/>
          <w:szCs w:val="28"/>
          <w:lang w:val="en-US" w:eastAsia="zh-CN"/>
        </w:rPr>
        <w:t>要求</w:t>
      </w:r>
      <w:r>
        <w:rPr>
          <w:rFonts w:hint="eastAsia" w:ascii="仿宋" w:hAnsi="仿宋" w:eastAsia="仿宋"/>
          <w:color w:val="auto"/>
          <w:sz w:val="28"/>
          <w:szCs w:val="28"/>
        </w:rPr>
        <w:t>及合同条款。</w:t>
      </w:r>
    </w:p>
    <w:p w14:paraId="06BE0D95">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40" w:lineRule="exact"/>
        <w:ind w:left="-199" w:leftChars="-95"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交货期： </w:t>
      </w:r>
      <w:r>
        <w:rPr>
          <w:rFonts w:hint="eastAsia" w:ascii="仿宋" w:hAnsi="仿宋" w:eastAsia="仿宋"/>
          <w:sz w:val="28"/>
          <w:szCs w:val="28"/>
          <w:lang w:val="en-US" w:eastAsia="zh-CN"/>
        </w:rPr>
        <w:t>接买方通知</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3</w:t>
      </w:r>
      <w:r>
        <w:rPr>
          <w:rFonts w:hint="eastAsia" w:ascii="仿宋" w:hAnsi="仿宋" w:eastAsia="仿宋"/>
          <w:sz w:val="28"/>
          <w:szCs w:val="28"/>
          <w:u w:val="single"/>
        </w:rPr>
        <w:t xml:space="preserve"> </w:t>
      </w:r>
      <w:r>
        <w:rPr>
          <w:rFonts w:hint="eastAsia" w:ascii="仿宋" w:hAnsi="仿宋" w:eastAsia="仿宋"/>
          <w:sz w:val="28"/>
          <w:szCs w:val="28"/>
        </w:rPr>
        <w:t>天</w:t>
      </w:r>
      <w:r>
        <w:rPr>
          <w:rFonts w:hint="eastAsia" w:ascii="仿宋" w:hAnsi="仿宋" w:eastAsia="仿宋"/>
          <w:sz w:val="28"/>
          <w:szCs w:val="28"/>
          <w:lang w:val="en-US" w:eastAsia="zh-CN"/>
        </w:rPr>
        <w:t>可进行运维服务</w:t>
      </w:r>
      <w:r>
        <w:rPr>
          <w:rFonts w:hint="eastAsia" w:ascii="仿宋" w:hAnsi="仿宋" w:eastAsia="仿宋"/>
          <w:sz w:val="28"/>
          <w:szCs w:val="28"/>
        </w:rPr>
        <w:t xml:space="preserve">。              </w:t>
      </w:r>
    </w:p>
    <w:p w14:paraId="79A8881E">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40" w:lineRule="exact"/>
        <w:ind w:left="-199" w:leftChars="-95" w:firstLine="560" w:firstLineChars="200"/>
        <w:textAlignment w:val="auto"/>
        <w:rPr>
          <w:rFonts w:hint="eastAsia" w:ascii="仿宋" w:hAnsi="仿宋" w:eastAsia="仿宋"/>
          <w:sz w:val="28"/>
          <w:szCs w:val="28"/>
        </w:rPr>
      </w:pPr>
      <w:r>
        <w:rPr>
          <w:rFonts w:hint="eastAsia" w:ascii="仿宋" w:hAnsi="仿宋" w:eastAsia="仿宋"/>
          <w:sz w:val="28"/>
          <w:szCs w:val="28"/>
        </w:rPr>
        <w:t>此报价包含</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6</w:t>
      </w:r>
      <w:r>
        <w:rPr>
          <w:rFonts w:hint="eastAsia" w:ascii="仿宋" w:hAnsi="仿宋" w:eastAsia="仿宋"/>
          <w:sz w:val="28"/>
          <w:szCs w:val="28"/>
          <w:u w:val="single"/>
        </w:rPr>
        <w:t xml:space="preserve"> </w:t>
      </w:r>
      <w:r>
        <w:rPr>
          <w:rFonts w:hint="eastAsia" w:ascii="仿宋" w:hAnsi="仿宋" w:eastAsia="仿宋"/>
          <w:sz w:val="28"/>
          <w:szCs w:val="28"/>
        </w:rPr>
        <w:t>%增值税及与本合同有关的所有费用</w:t>
      </w:r>
      <w:r>
        <w:rPr>
          <w:rFonts w:hint="eastAsia" w:ascii="仿宋" w:hAnsi="仿宋" w:eastAsia="仿宋"/>
          <w:sz w:val="28"/>
          <w:szCs w:val="28"/>
          <w:lang w:eastAsia="zh-CN"/>
        </w:rPr>
        <w:t>。</w:t>
      </w:r>
      <w:r>
        <w:rPr>
          <w:rFonts w:hint="eastAsia" w:ascii="仿宋" w:hAnsi="仿宋" w:eastAsia="仿宋"/>
          <w:sz w:val="28"/>
          <w:szCs w:val="28"/>
        </w:rPr>
        <w:t xml:space="preserve">       </w:t>
      </w:r>
    </w:p>
    <w:p w14:paraId="4BEB261C">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40" w:lineRule="exact"/>
        <w:ind w:left="-199" w:leftChars="-95" w:firstLine="560" w:firstLineChars="200"/>
        <w:textAlignment w:val="auto"/>
        <w:rPr>
          <w:rFonts w:hint="eastAsia" w:ascii="仿宋" w:hAnsi="仿宋" w:eastAsia="仿宋"/>
          <w:sz w:val="28"/>
          <w:szCs w:val="28"/>
        </w:rPr>
      </w:pPr>
      <w:r>
        <w:rPr>
          <w:rFonts w:hint="eastAsia" w:ascii="仿宋" w:hAnsi="仿宋" w:eastAsia="仿宋"/>
          <w:sz w:val="28"/>
          <w:szCs w:val="28"/>
        </w:rPr>
        <w:t>付款方式：</w:t>
      </w:r>
      <w:r>
        <w:rPr>
          <w:rFonts w:hint="eastAsia" w:ascii="仿宋" w:hAnsi="仿宋" w:eastAsia="仿宋"/>
          <w:sz w:val="28"/>
          <w:szCs w:val="28"/>
          <w:lang w:val="en-US" w:eastAsia="zh-CN"/>
        </w:rPr>
        <w:t>除棒材外，</w:t>
      </w:r>
      <w:r>
        <w:rPr>
          <w:rFonts w:hint="default" w:ascii="仿宋" w:hAnsi="仿宋" w:eastAsia="仿宋" w:cs="Times New Roman"/>
          <w:sz w:val="28"/>
          <w:szCs w:val="28"/>
          <w:lang w:eastAsia="zh-CN"/>
        </w:rPr>
        <w:t>运维结束入账后90个工作日付款</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棒材厂按月结算</w:t>
      </w:r>
      <w:r>
        <w:rPr>
          <w:rFonts w:hint="eastAsia" w:ascii="仿宋" w:hAnsi="仿宋" w:eastAsia="仿宋" w:cs="Times New Roman"/>
          <w:sz w:val="28"/>
          <w:szCs w:val="28"/>
        </w:rPr>
        <w:t>。</w:t>
      </w:r>
      <w:r>
        <w:rPr>
          <w:rFonts w:hint="eastAsia" w:ascii="仿宋" w:hAnsi="仿宋" w:eastAsia="仿宋"/>
          <w:sz w:val="28"/>
          <w:szCs w:val="28"/>
        </w:rPr>
        <w:t xml:space="preserve"> </w:t>
      </w:r>
    </w:p>
    <w:p w14:paraId="04A05641">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40" w:lineRule="exact"/>
        <w:ind w:left="-199" w:leftChars="-95" w:firstLine="560" w:firstLineChars="200"/>
        <w:textAlignment w:val="auto"/>
        <w:rPr>
          <w:rFonts w:hint="eastAsia" w:ascii="仿宋" w:hAnsi="仿宋" w:eastAsia="仿宋"/>
          <w:sz w:val="24"/>
        </w:rPr>
      </w:pPr>
      <w:r>
        <w:rPr>
          <w:rFonts w:hint="eastAsia" w:ascii="仿宋" w:hAnsi="仿宋" w:eastAsia="仿宋"/>
          <w:sz w:val="28"/>
          <w:szCs w:val="28"/>
        </w:rPr>
        <w:t>报价有效期：</w:t>
      </w:r>
      <w:r>
        <w:rPr>
          <w:rFonts w:hint="eastAsia" w:ascii="仿宋" w:hAnsi="仿宋" w:eastAsia="仿宋"/>
          <w:sz w:val="28"/>
          <w:szCs w:val="28"/>
          <w:u w:val="single"/>
          <w:lang w:val="en-US" w:eastAsia="zh-CN"/>
        </w:rPr>
        <w:t>365</w:t>
      </w:r>
      <w:r>
        <w:rPr>
          <w:rFonts w:hint="eastAsia" w:ascii="仿宋" w:hAnsi="仿宋" w:eastAsia="仿宋"/>
          <w:sz w:val="28"/>
          <w:szCs w:val="28"/>
        </w:rPr>
        <w:t>天（报价承诺的期限）；</w:t>
      </w:r>
    </w:p>
    <w:p w14:paraId="64A9FA19">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40" w:lineRule="exact"/>
        <w:ind w:left="-197" w:leftChars="-94" w:firstLine="560" w:firstLineChars="200"/>
        <w:textAlignment w:val="auto"/>
        <w:rPr>
          <w:rFonts w:hint="eastAsia" w:ascii="仿宋" w:hAnsi="仿宋" w:eastAsia="仿宋"/>
          <w:sz w:val="24"/>
        </w:rPr>
      </w:pPr>
      <w:r>
        <w:rPr>
          <w:rFonts w:hint="eastAsia" w:ascii="仿宋" w:hAnsi="仿宋" w:eastAsia="仿宋"/>
          <w:sz w:val="28"/>
          <w:szCs w:val="28"/>
        </w:rPr>
        <w:t xml:space="preserve">投标单位要认真核算报价，并按报价格式给予报价，报价如出现大小写不符的，以大写报价为准；单价、总价不符的，以单价为准。 </w:t>
      </w:r>
    </w:p>
    <w:p w14:paraId="014534B4">
      <w:pPr>
        <w:keepNext w:val="0"/>
        <w:keepLines w:val="0"/>
        <w:pageBreakBefore w:val="0"/>
        <w:widowControl w:val="0"/>
        <w:tabs>
          <w:tab w:val="left" w:pos="5680"/>
        </w:tabs>
        <w:kinsoku/>
        <w:wordWrap/>
        <w:overflowPunct/>
        <w:topLinePunct w:val="0"/>
        <w:autoSpaceDE/>
        <w:autoSpaceDN/>
        <w:bidi w:val="0"/>
        <w:adjustRightInd/>
        <w:snapToGrid/>
        <w:spacing w:line="440" w:lineRule="exact"/>
        <w:ind w:left="0" w:leftChars="0" w:firstLine="4838" w:firstLineChars="1728"/>
        <w:jc w:val="both"/>
        <w:textAlignment w:val="auto"/>
        <w:rPr>
          <w:rFonts w:ascii="仿宋" w:hAnsi="仿宋" w:eastAsia="仿宋"/>
          <w:sz w:val="28"/>
          <w:szCs w:val="28"/>
        </w:rPr>
      </w:pPr>
      <w:r>
        <w:rPr>
          <w:rFonts w:hint="eastAsia" w:ascii="仿宋" w:hAnsi="仿宋" w:eastAsia="仿宋"/>
          <w:sz w:val="28"/>
          <w:szCs w:val="28"/>
        </w:rPr>
        <w:t>报价单位（盖章）：</w:t>
      </w:r>
      <w:r>
        <w:rPr>
          <w:rFonts w:hint="eastAsia" w:ascii="仿宋" w:hAnsi="仿宋" w:eastAsia="仿宋"/>
          <w:sz w:val="28"/>
          <w:szCs w:val="28"/>
          <w:u w:val="single"/>
        </w:rPr>
        <w:t xml:space="preserve">              </w:t>
      </w:r>
    </w:p>
    <w:p w14:paraId="186D81DA">
      <w:pPr>
        <w:keepNext w:val="0"/>
        <w:keepLines w:val="0"/>
        <w:pageBreakBefore w:val="0"/>
        <w:widowControl w:val="0"/>
        <w:tabs>
          <w:tab w:val="left" w:pos="5680"/>
        </w:tabs>
        <w:kinsoku/>
        <w:wordWrap/>
        <w:overflowPunct/>
        <w:topLinePunct w:val="0"/>
        <w:autoSpaceDE/>
        <w:autoSpaceDN/>
        <w:bidi w:val="0"/>
        <w:adjustRightInd/>
        <w:snapToGrid/>
        <w:spacing w:line="440" w:lineRule="exact"/>
        <w:ind w:left="0" w:leftChars="0" w:firstLine="4838" w:firstLineChars="1728"/>
        <w:jc w:val="both"/>
        <w:textAlignment w:val="auto"/>
        <w:rPr>
          <w:rFonts w:hint="eastAsia" w:ascii="仿宋" w:hAnsi="仿宋" w:eastAsia="仿宋"/>
          <w:sz w:val="28"/>
          <w:szCs w:val="28"/>
          <w:lang w:val="en-US" w:eastAsia="zh-CN"/>
        </w:rPr>
      </w:pPr>
      <w:r>
        <w:rPr>
          <w:rFonts w:hint="eastAsia" w:ascii="仿宋" w:hAnsi="仿宋" w:eastAsia="仿宋"/>
          <w:sz w:val="28"/>
          <w:szCs w:val="28"/>
        </w:rPr>
        <w:t>报价人：（签字）：</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1D78DFF5">
      <w:pPr>
        <w:keepNext w:val="0"/>
        <w:keepLines w:val="0"/>
        <w:pageBreakBefore w:val="0"/>
        <w:widowControl w:val="0"/>
        <w:tabs>
          <w:tab w:val="left" w:pos="6945"/>
        </w:tabs>
        <w:kinsoku/>
        <w:wordWrap/>
        <w:overflowPunct/>
        <w:topLinePunct w:val="0"/>
        <w:autoSpaceDE/>
        <w:autoSpaceDN/>
        <w:bidi w:val="0"/>
        <w:adjustRightInd/>
        <w:snapToGrid/>
        <w:spacing w:line="440" w:lineRule="exact"/>
        <w:ind w:left="0" w:leftChars="0" w:firstLine="4838" w:firstLineChars="1728"/>
        <w:jc w:val="both"/>
        <w:textAlignment w:val="auto"/>
        <w:rPr>
          <w:rFonts w:hint="eastAsia" w:ascii="仿宋" w:hAnsi="仿宋" w:eastAsia="仿宋"/>
          <w:sz w:val="28"/>
          <w:szCs w:val="28"/>
          <w:lang w:eastAsia="zh-CN"/>
        </w:rPr>
      </w:pPr>
      <w:r>
        <w:rPr>
          <w:rFonts w:hint="eastAsia" w:ascii="仿宋" w:hAnsi="仿宋" w:eastAsia="仿宋"/>
          <w:sz w:val="28"/>
          <w:szCs w:val="28"/>
        </w:rPr>
        <w:t>报价时间：</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lang w:eastAsia="zh-CN"/>
        </w:rPr>
        <w:t>年6月1</w:t>
      </w:r>
      <w:r>
        <w:rPr>
          <w:rFonts w:hint="eastAsia" w:ascii="仿宋" w:hAnsi="仿宋" w:eastAsia="仿宋"/>
          <w:sz w:val="28"/>
          <w:szCs w:val="28"/>
          <w:lang w:val="en-US" w:eastAsia="zh-CN"/>
        </w:rPr>
        <w:t>7</w:t>
      </w:r>
      <w:r>
        <w:rPr>
          <w:rFonts w:hint="eastAsia" w:ascii="仿宋" w:hAnsi="仿宋" w:eastAsia="仿宋"/>
          <w:sz w:val="28"/>
          <w:szCs w:val="28"/>
          <w:lang w:eastAsia="zh-CN"/>
        </w:rPr>
        <w:t>日</w:t>
      </w:r>
    </w:p>
    <w:p w14:paraId="394C8475">
      <w:pPr>
        <w:keepNext w:val="0"/>
        <w:keepLines w:val="0"/>
        <w:pageBreakBefore w:val="0"/>
        <w:widowControl w:val="0"/>
        <w:tabs>
          <w:tab w:val="left" w:pos="6945"/>
        </w:tabs>
        <w:kinsoku/>
        <w:wordWrap/>
        <w:overflowPunct/>
        <w:topLinePunct w:val="0"/>
        <w:autoSpaceDE/>
        <w:autoSpaceDN/>
        <w:bidi w:val="0"/>
        <w:adjustRightInd/>
        <w:snapToGrid/>
        <w:spacing w:line="540" w:lineRule="exact"/>
        <w:jc w:val="both"/>
        <w:textAlignment w:val="auto"/>
        <w:rPr>
          <w:rFonts w:ascii="宋体" w:hAnsi="宋体" w:cs="宋体"/>
          <w:b/>
          <w:bCs/>
          <w:snapToGrid w:val="0"/>
          <w:sz w:val="32"/>
          <w:szCs w:val="32"/>
        </w:rPr>
      </w:pPr>
      <w:r>
        <w:rPr>
          <w:rFonts w:hint="eastAsia" w:ascii="宋体" w:hAnsi="宋体" w:cs="宋体"/>
          <w:b/>
          <w:bCs/>
          <w:snapToGrid w:val="0"/>
          <w:sz w:val="32"/>
          <w:szCs w:val="32"/>
        </w:rPr>
        <w:t>附件5  差异回复</w:t>
      </w:r>
    </w:p>
    <w:p w14:paraId="00938AD2">
      <w:pPr>
        <w:rPr>
          <w:rFonts w:hint="eastAsia" w:ascii="仿宋" w:hAnsi="仿宋" w:eastAsia="仿宋" w:cs="仿宋"/>
          <w:sz w:val="32"/>
          <w:szCs w:val="32"/>
        </w:rPr>
      </w:pPr>
      <w:r>
        <w:rPr>
          <w:rFonts w:hint="eastAsia" w:ascii="仿宋" w:hAnsi="仿宋" w:eastAsia="仿宋" w:cs="仿宋"/>
          <w:sz w:val="32"/>
          <w:szCs w:val="32"/>
        </w:rPr>
        <w:t>差异回复：</w:t>
      </w:r>
    </w:p>
    <w:p w14:paraId="066AEBC4">
      <w:pPr>
        <w:rPr>
          <w:rFonts w:hint="eastAsia" w:ascii="仿宋" w:hAnsi="仿宋" w:eastAsia="仿宋" w:cs="仿宋"/>
          <w:sz w:val="32"/>
          <w:szCs w:val="32"/>
        </w:rPr>
      </w:pPr>
      <w:r>
        <w:rPr>
          <w:rFonts w:hint="eastAsia" w:ascii="仿宋" w:hAnsi="仿宋" w:eastAsia="仿宋" w:cs="仿宋"/>
          <w:sz w:val="32"/>
          <w:szCs w:val="32"/>
        </w:rPr>
        <w:t>（投标人若对招标要求有异议，可将差异填写在如下表格中，如无差异直接在报价中签字确认）</w:t>
      </w:r>
    </w:p>
    <w:tbl>
      <w:tblPr>
        <w:tblStyle w:val="22"/>
        <w:tblpPr w:leftFromText="180" w:rightFromText="180" w:vertAnchor="text" w:horzAnchor="page" w:tblpX="1387" w:tblpY="4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8057"/>
      </w:tblGrid>
      <w:tr w14:paraId="74F3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3DAC573B">
            <w:pPr>
              <w:jc w:val="center"/>
              <w:rPr>
                <w:rFonts w:hint="eastAsia" w:ascii="仿宋" w:hAnsi="仿宋" w:eastAsia="仿宋" w:cs="仿宋"/>
                <w:sz w:val="32"/>
                <w:szCs w:val="32"/>
              </w:rPr>
            </w:pPr>
            <w:r>
              <w:rPr>
                <w:rFonts w:hint="eastAsia" w:ascii="仿宋" w:hAnsi="仿宋" w:eastAsia="仿宋" w:cs="仿宋"/>
                <w:sz w:val="32"/>
                <w:szCs w:val="32"/>
              </w:rPr>
              <w:t>序号</w:t>
            </w:r>
          </w:p>
        </w:tc>
        <w:tc>
          <w:tcPr>
            <w:tcW w:w="8057" w:type="dxa"/>
            <w:noWrap w:val="0"/>
            <w:vAlign w:val="top"/>
          </w:tcPr>
          <w:p w14:paraId="491B89F0">
            <w:pPr>
              <w:jc w:val="center"/>
              <w:rPr>
                <w:rFonts w:hint="eastAsia" w:ascii="仿宋" w:hAnsi="仿宋" w:eastAsia="仿宋" w:cs="仿宋"/>
                <w:sz w:val="32"/>
                <w:szCs w:val="32"/>
              </w:rPr>
            </w:pPr>
            <w:r>
              <w:rPr>
                <w:rFonts w:hint="eastAsia" w:ascii="仿宋" w:hAnsi="仿宋" w:eastAsia="仿宋" w:cs="仿宋"/>
                <w:sz w:val="32"/>
                <w:szCs w:val="32"/>
              </w:rPr>
              <w:t>差异内容</w:t>
            </w:r>
          </w:p>
        </w:tc>
      </w:tr>
      <w:tr w14:paraId="0985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2C218A32">
            <w:pPr>
              <w:jc w:val="center"/>
              <w:rPr>
                <w:rFonts w:hint="eastAsia" w:ascii="仿宋" w:hAnsi="仿宋" w:eastAsia="仿宋" w:cs="仿宋"/>
                <w:sz w:val="32"/>
                <w:szCs w:val="32"/>
              </w:rPr>
            </w:pPr>
            <w:r>
              <w:rPr>
                <w:rFonts w:hint="eastAsia" w:ascii="仿宋" w:hAnsi="仿宋" w:eastAsia="仿宋" w:cs="仿宋"/>
                <w:sz w:val="32"/>
                <w:szCs w:val="32"/>
              </w:rPr>
              <w:t>1</w:t>
            </w:r>
          </w:p>
        </w:tc>
        <w:tc>
          <w:tcPr>
            <w:tcW w:w="8057" w:type="dxa"/>
            <w:noWrap w:val="0"/>
            <w:vAlign w:val="top"/>
          </w:tcPr>
          <w:p w14:paraId="61B31238">
            <w:pPr>
              <w:rPr>
                <w:rFonts w:hint="eastAsia" w:ascii="仿宋" w:hAnsi="仿宋" w:eastAsia="仿宋" w:cs="仿宋"/>
                <w:sz w:val="32"/>
                <w:szCs w:val="32"/>
              </w:rPr>
            </w:pPr>
          </w:p>
        </w:tc>
      </w:tr>
      <w:tr w14:paraId="37A5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29249F47">
            <w:pPr>
              <w:jc w:val="center"/>
              <w:rPr>
                <w:rFonts w:hint="eastAsia" w:ascii="仿宋" w:hAnsi="仿宋" w:eastAsia="仿宋" w:cs="仿宋"/>
                <w:sz w:val="32"/>
                <w:szCs w:val="32"/>
              </w:rPr>
            </w:pPr>
            <w:r>
              <w:rPr>
                <w:rFonts w:hint="eastAsia" w:ascii="仿宋" w:hAnsi="仿宋" w:eastAsia="仿宋" w:cs="仿宋"/>
                <w:sz w:val="32"/>
                <w:szCs w:val="32"/>
              </w:rPr>
              <w:t>2</w:t>
            </w:r>
          </w:p>
        </w:tc>
        <w:tc>
          <w:tcPr>
            <w:tcW w:w="8057" w:type="dxa"/>
            <w:noWrap w:val="0"/>
            <w:vAlign w:val="top"/>
          </w:tcPr>
          <w:p w14:paraId="4118C276">
            <w:pPr>
              <w:rPr>
                <w:rFonts w:hint="eastAsia" w:ascii="仿宋" w:hAnsi="仿宋" w:eastAsia="仿宋" w:cs="仿宋"/>
                <w:sz w:val="32"/>
                <w:szCs w:val="32"/>
              </w:rPr>
            </w:pPr>
          </w:p>
        </w:tc>
      </w:tr>
      <w:tr w14:paraId="2EFF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6EAC2204">
            <w:pPr>
              <w:jc w:val="center"/>
              <w:rPr>
                <w:rFonts w:hint="eastAsia" w:ascii="仿宋" w:hAnsi="仿宋" w:eastAsia="仿宋" w:cs="仿宋"/>
                <w:sz w:val="32"/>
                <w:szCs w:val="32"/>
              </w:rPr>
            </w:pPr>
            <w:r>
              <w:rPr>
                <w:rFonts w:hint="eastAsia" w:ascii="仿宋" w:hAnsi="仿宋" w:eastAsia="仿宋" w:cs="仿宋"/>
                <w:sz w:val="32"/>
                <w:szCs w:val="32"/>
              </w:rPr>
              <w:t>3</w:t>
            </w:r>
          </w:p>
        </w:tc>
        <w:tc>
          <w:tcPr>
            <w:tcW w:w="8057" w:type="dxa"/>
            <w:noWrap w:val="0"/>
            <w:vAlign w:val="top"/>
          </w:tcPr>
          <w:p w14:paraId="4927DD2A">
            <w:pPr>
              <w:rPr>
                <w:rFonts w:hint="eastAsia" w:ascii="仿宋" w:hAnsi="仿宋" w:eastAsia="仿宋" w:cs="仿宋"/>
                <w:sz w:val="32"/>
                <w:szCs w:val="32"/>
              </w:rPr>
            </w:pPr>
          </w:p>
        </w:tc>
      </w:tr>
    </w:tbl>
    <w:p w14:paraId="361E3B79">
      <w:pPr>
        <w:rPr>
          <w:rFonts w:ascii="仿宋" w:hAnsi="仿宋" w:eastAsia="仿宋"/>
          <w:sz w:val="28"/>
          <w:szCs w:val="28"/>
        </w:rPr>
      </w:pPr>
    </w:p>
    <w:p w14:paraId="69C5467D">
      <w:pPr>
        <w:rPr>
          <w:rFonts w:ascii="仿宋" w:hAnsi="仿宋" w:eastAsia="仿宋"/>
          <w:sz w:val="28"/>
          <w:szCs w:val="28"/>
        </w:rPr>
      </w:pPr>
    </w:p>
    <w:p w14:paraId="74401197">
      <w:pPr>
        <w:rPr>
          <w:rFonts w:ascii="仿宋" w:hAnsi="仿宋" w:eastAsia="仿宋"/>
          <w:sz w:val="28"/>
          <w:szCs w:val="28"/>
        </w:rPr>
      </w:pPr>
    </w:p>
    <w:p w14:paraId="381C1B76">
      <w:pPr>
        <w:rPr>
          <w:rFonts w:hint="eastAsia" w:ascii="仿宋" w:hAnsi="仿宋" w:eastAsia="仿宋" w:cs="仿宋"/>
          <w:sz w:val="32"/>
          <w:szCs w:val="32"/>
        </w:rPr>
      </w:pPr>
    </w:p>
    <w:p w14:paraId="09DA600C">
      <w:pPr>
        <w:rPr>
          <w:rFonts w:hint="eastAsia" w:ascii="仿宋" w:hAnsi="仿宋" w:eastAsia="仿宋" w:cs="仿宋"/>
          <w:sz w:val="32"/>
          <w:szCs w:val="32"/>
        </w:rPr>
      </w:pPr>
    </w:p>
    <w:p w14:paraId="23EC1221">
      <w:pPr>
        <w:rPr>
          <w:rFonts w:hint="eastAsia" w:ascii="仿宋" w:hAnsi="仿宋" w:eastAsia="仿宋" w:cs="仿宋"/>
          <w:sz w:val="32"/>
          <w:szCs w:val="32"/>
        </w:rPr>
      </w:pPr>
    </w:p>
    <w:p w14:paraId="3427E459">
      <w:pPr>
        <w:rPr>
          <w:rFonts w:hint="eastAsia" w:ascii="仿宋" w:hAnsi="仿宋" w:eastAsia="仿宋" w:cs="仿宋"/>
          <w:sz w:val="32"/>
          <w:szCs w:val="32"/>
        </w:rPr>
      </w:pPr>
    </w:p>
    <w:p w14:paraId="0DE603ED">
      <w:pPr>
        <w:rPr>
          <w:rFonts w:hint="eastAsia" w:ascii="仿宋" w:hAnsi="仿宋" w:eastAsia="仿宋" w:cs="仿宋"/>
          <w:sz w:val="32"/>
          <w:szCs w:val="32"/>
        </w:rPr>
      </w:pPr>
    </w:p>
    <w:p w14:paraId="60C621B2">
      <w:pPr>
        <w:spacing w:line="360" w:lineRule="exact"/>
        <w:ind w:left="5814" w:hanging="5814" w:hangingChars="2413"/>
        <w:rPr>
          <w:rFonts w:hint="eastAsia" w:ascii="楷体_GB2312" w:hAnsi="华文中宋"/>
          <w:b/>
          <w:kern w:val="20"/>
          <w:sz w:val="24"/>
        </w:rPr>
      </w:pPr>
    </w:p>
    <w:p w14:paraId="1B829624">
      <w:pPr>
        <w:spacing w:line="400" w:lineRule="exact"/>
        <w:ind w:firstLine="105" w:firstLineChars="50"/>
        <w:jc w:val="center"/>
        <w:rPr>
          <w:rFonts w:hint="eastAsia" w:ascii="宋体" w:hAnsi="宋体" w:cs="宋体"/>
        </w:rPr>
      </w:pPr>
    </w:p>
    <w:p w14:paraId="1C37214C">
      <w:pPr>
        <w:spacing w:line="400" w:lineRule="exact"/>
        <w:ind w:firstLine="105" w:firstLineChars="50"/>
        <w:jc w:val="center"/>
        <w:rPr>
          <w:rFonts w:hint="eastAsia" w:ascii="宋体" w:hAnsi="宋体" w:cs="宋体"/>
        </w:rPr>
      </w:pPr>
    </w:p>
    <w:p w14:paraId="33E17969">
      <w:pPr>
        <w:spacing w:line="400" w:lineRule="exact"/>
        <w:ind w:firstLine="105" w:firstLineChars="50"/>
        <w:jc w:val="center"/>
        <w:rPr>
          <w:rFonts w:hint="eastAsia" w:ascii="宋体" w:hAnsi="宋体" w:cs="宋体"/>
        </w:rPr>
      </w:pPr>
    </w:p>
    <w:p w14:paraId="62521E78">
      <w:pPr>
        <w:spacing w:line="400" w:lineRule="exact"/>
        <w:ind w:firstLine="105" w:firstLineChars="50"/>
        <w:jc w:val="center"/>
        <w:rPr>
          <w:rFonts w:hint="eastAsia" w:ascii="宋体" w:hAnsi="宋体" w:cs="宋体"/>
        </w:rPr>
      </w:pPr>
    </w:p>
    <w:p w14:paraId="5AC70969">
      <w:pPr>
        <w:spacing w:line="420" w:lineRule="exact"/>
        <w:rPr>
          <w:rFonts w:hint="eastAsia" w:ascii="宋体" w:hAnsi="宋体"/>
          <w:b/>
          <w:bCs/>
          <w:color w:val="000000"/>
          <w:sz w:val="32"/>
          <w:szCs w:val="32"/>
        </w:rPr>
      </w:pPr>
      <w:r>
        <w:rPr>
          <w:rFonts w:hint="eastAsia" w:ascii="宋体" w:hAnsi="宋体" w:cs="宋体"/>
          <w:b/>
          <w:spacing w:val="20"/>
          <w:sz w:val="52"/>
          <w:szCs w:val="52"/>
        </w:rPr>
        <w:br w:type="page"/>
      </w:r>
      <w:r>
        <w:rPr>
          <w:rFonts w:hint="eastAsia" w:ascii="宋体" w:hAnsi="宋体"/>
          <w:b/>
          <w:bCs/>
          <w:color w:val="000000"/>
          <w:sz w:val="32"/>
          <w:szCs w:val="32"/>
        </w:rPr>
        <w:t>三、合同条款（范本）</w:t>
      </w:r>
    </w:p>
    <w:p w14:paraId="52DF1D74">
      <w:pPr>
        <w:keepNext w:val="0"/>
        <w:keepLines w:val="0"/>
        <w:pageBreakBefore w:val="0"/>
        <w:tabs>
          <w:tab w:val="center" w:pos="4153"/>
          <w:tab w:val="left" w:pos="7560"/>
        </w:tabs>
        <w:kinsoku/>
        <w:wordWrap/>
        <w:overflowPunct/>
        <w:topLinePunct w:val="0"/>
        <w:autoSpaceDE w:val="0"/>
        <w:autoSpaceDN w:val="0"/>
        <w:bidi w:val="0"/>
        <w:adjustRightInd/>
        <w:snapToGrid/>
        <w:spacing w:line="540" w:lineRule="exact"/>
        <w:ind w:left="0" w:leftChars="0" w:right="0" w:firstLine="1044" w:firstLineChars="200"/>
        <w:jc w:val="center"/>
        <w:textAlignment w:val="auto"/>
        <w:rPr>
          <w:rFonts w:hint="eastAsia" w:ascii="黑体" w:hAnsi="黑体" w:eastAsia="黑体" w:cs="黑体"/>
          <w:b/>
          <w:color w:val="auto"/>
          <w:sz w:val="52"/>
          <w:szCs w:val="52"/>
          <w:lang w:eastAsia="zh-CN"/>
        </w:rPr>
      </w:pPr>
    </w:p>
    <w:p w14:paraId="76968FAA">
      <w:pPr>
        <w:keepNext w:val="0"/>
        <w:keepLines w:val="0"/>
        <w:pageBreakBefore w:val="0"/>
        <w:tabs>
          <w:tab w:val="center" w:pos="4153"/>
          <w:tab w:val="left" w:pos="7560"/>
        </w:tabs>
        <w:kinsoku/>
        <w:wordWrap/>
        <w:overflowPunct/>
        <w:topLinePunct w:val="0"/>
        <w:autoSpaceDE w:val="0"/>
        <w:autoSpaceDN w:val="0"/>
        <w:bidi w:val="0"/>
        <w:adjustRightInd/>
        <w:snapToGrid/>
        <w:spacing w:line="540" w:lineRule="exact"/>
        <w:ind w:left="0" w:leftChars="0" w:right="0" w:firstLine="1044" w:firstLineChars="200"/>
        <w:jc w:val="center"/>
        <w:textAlignment w:val="auto"/>
        <w:rPr>
          <w:rFonts w:hint="eastAsia" w:ascii="黑体" w:hAnsi="黑体" w:eastAsia="黑体" w:cs="黑体"/>
          <w:b/>
          <w:color w:val="auto"/>
          <w:sz w:val="52"/>
          <w:szCs w:val="52"/>
          <w:lang w:eastAsia="zh-CN"/>
        </w:rPr>
      </w:pPr>
    </w:p>
    <w:p w14:paraId="27B0C3D4">
      <w:pPr>
        <w:keepNext w:val="0"/>
        <w:keepLines w:val="0"/>
        <w:pageBreakBefore w:val="0"/>
        <w:tabs>
          <w:tab w:val="center" w:pos="4153"/>
          <w:tab w:val="left" w:pos="7560"/>
        </w:tabs>
        <w:kinsoku/>
        <w:wordWrap/>
        <w:overflowPunct/>
        <w:topLinePunct w:val="0"/>
        <w:autoSpaceDE w:val="0"/>
        <w:autoSpaceDN w:val="0"/>
        <w:bidi w:val="0"/>
        <w:adjustRightInd/>
        <w:snapToGrid/>
        <w:spacing w:line="540" w:lineRule="exact"/>
        <w:ind w:left="0" w:leftChars="0" w:right="0" w:firstLine="1044" w:firstLineChars="200"/>
        <w:jc w:val="center"/>
        <w:textAlignment w:val="auto"/>
        <w:rPr>
          <w:rFonts w:ascii="黑体" w:hAnsi="黑体" w:eastAsia="黑体" w:cs="黑体"/>
          <w:b/>
          <w:color w:val="auto"/>
          <w:sz w:val="52"/>
          <w:szCs w:val="52"/>
        </w:rPr>
      </w:pPr>
      <w:r>
        <w:rPr>
          <w:rFonts w:hint="eastAsia" w:ascii="黑体" w:hAnsi="黑体" w:eastAsia="黑体" w:cs="黑体"/>
          <w:b/>
          <w:color w:val="auto"/>
          <w:sz w:val="52"/>
          <w:szCs w:val="52"/>
          <w:lang w:eastAsia="zh-CN"/>
        </w:rPr>
        <w:t>危险</w:t>
      </w:r>
      <w:r>
        <w:rPr>
          <w:rFonts w:hint="eastAsia" w:ascii="黑体" w:hAnsi="黑体" w:eastAsia="黑体" w:cs="黑体"/>
          <w:b/>
          <w:color w:val="auto"/>
          <w:sz w:val="52"/>
          <w:szCs w:val="52"/>
        </w:rPr>
        <w:t>废物污染防治物联网监管系统</w:t>
      </w:r>
    </w:p>
    <w:p w14:paraId="714E154E">
      <w:pPr>
        <w:keepNext w:val="0"/>
        <w:keepLines w:val="0"/>
        <w:pageBreakBefore w:val="0"/>
        <w:tabs>
          <w:tab w:val="center" w:pos="4153"/>
          <w:tab w:val="left" w:pos="7560"/>
        </w:tabs>
        <w:kinsoku/>
        <w:wordWrap/>
        <w:overflowPunct/>
        <w:topLinePunct w:val="0"/>
        <w:autoSpaceDE w:val="0"/>
        <w:autoSpaceDN w:val="0"/>
        <w:bidi w:val="0"/>
        <w:adjustRightInd/>
        <w:snapToGrid/>
        <w:spacing w:line="540" w:lineRule="exact"/>
        <w:ind w:left="0" w:leftChars="0" w:right="0" w:firstLine="1044" w:firstLineChars="200"/>
        <w:jc w:val="center"/>
        <w:textAlignment w:val="auto"/>
        <w:rPr>
          <w:rFonts w:ascii="黑体" w:hAnsi="黑体" w:eastAsia="黑体" w:cs="黑体"/>
          <w:b/>
          <w:color w:val="auto"/>
          <w:sz w:val="52"/>
          <w:szCs w:val="52"/>
        </w:rPr>
      </w:pPr>
      <w:r>
        <w:rPr>
          <w:rFonts w:hint="eastAsia" w:ascii="黑体" w:hAnsi="黑体" w:eastAsia="黑体" w:cs="黑体"/>
          <w:b/>
          <w:color w:val="auto"/>
          <w:sz w:val="52"/>
          <w:szCs w:val="52"/>
        </w:rPr>
        <w:t>运营维护合同</w:t>
      </w:r>
    </w:p>
    <w:p w14:paraId="7A926163">
      <w:pPr>
        <w:keepNext w:val="0"/>
        <w:keepLines w:val="0"/>
        <w:pageBreakBefore w:val="0"/>
        <w:tabs>
          <w:tab w:val="center" w:pos="4153"/>
          <w:tab w:val="left" w:pos="7560"/>
        </w:tabs>
        <w:kinsoku/>
        <w:wordWrap/>
        <w:overflowPunct/>
        <w:topLinePunct w:val="0"/>
        <w:autoSpaceDE w:val="0"/>
        <w:autoSpaceDN w:val="0"/>
        <w:bidi w:val="0"/>
        <w:adjustRightInd/>
        <w:snapToGrid/>
        <w:spacing w:line="540" w:lineRule="exact"/>
        <w:ind w:left="0" w:leftChars="0" w:right="0" w:firstLine="420" w:firstLineChars="200"/>
        <w:jc w:val="center"/>
        <w:textAlignment w:val="auto"/>
        <w:rPr>
          <w:bCs/>
          <w:color w:val="auto"/>
        </w:rPr>
      </w:pPr>
    </w:p>
    <w:p w14:paraId="00C19EB4">
      <w:pPr>
        <w:keepNext w:val="0"/>
        <w:keepLines w:val="0"/>
        <w:pageBreakBefore w:val="0"/>
        <w:tabs>
          <w:tab w:val="center" w:pos="4153"/>
          <w:tab w:val="left" w:pos="7560"/>
        </w:tabs>
        <w:kinsoku/>
        <w:wordWrap/>
        <w:overflowPunct/>
        <w:topLinePunct w:val="0"/>
        <w:autoSpaceDE w:val="0"/>
        <w:autoSpaceDN w:val="0"/>
        <w:bidi w:val="0"/>
        <w:adjustRightInd/>
        <w:snapToGrid/>
        <w:spacing w:line="540" w:lineRule="exact"/>
        <w:ind w:left="0" w:leftChars="0" w:right="0" w:firstLine="420" w:firstLineChars="200"/>
        <w:jc w:val="center"/>
        <w:textAlignment w:val="auto"/>
        <w:rPr>
          <w:bCs/>
          <w:color w:val="auto"/>
        </w:rPr>
      </w:pPr>
      <w:r>
        <w:rPr>
          <w:rFonts w:hint="eastAsia"/>
          <w:bCs/>
          <w:color w:val="auto"/>
        </w:rPr>
        <w:t xml:space="preserve"> </w:t>
      </w:r>
    </w:p>
    <w:p w14:paraId="6ECDC2A1">
      <w:pPr>
        <w:keepNext w:val="0"/>
        <w:keepLines w:val="0"/>
        <w:pageBreakBefore w:val="0"/>
        <w:kinsoku/>
        <w:wordWrap/>
        <w:overflowPunct/>
        <w:topLinePunct w:val="0"/>
        <w:bidi w:val="0"/>
        <w:adjustRightInd/>
        <w:snapToGrid/>
        <w:spacing w:line="540" w:lineRule="exact"/>
        <w:ind w:left="0" w:leftChars="0" w:right="0" w:firstLine="420" w:firstLineChars="200"/>
        <w:jc w:val="center"/>
        <w:textAlignment w:val="auto"/>
        <w:rPr>
          <w:color w:val="auto"/>
        </w:rPr>
      </w:pPr>
    </w:p>
    <w:p w14:paraId="2164CE42">
      <w:pPr>
        <w:keepNext w:val="0"/>
        <w:keepLines w:val="0"/>
        <w:pageBreakBefore w:val="0"/>
        <w:kinsoku/>
        <w:wordWrap/>
        <w:overflowPunct/>
        <w:topLinePunct w:val="0"/>
        <w:bidi w:val="0"/>
        <w:adjustRightInd/>
        <w:snapToGrid/>
        <w:spacing w:line="540" w:lineRule="exact"/>
        <w:ind w:left="0" w:leftChars="0" w:right="0" w:firstLine="420" w:firstLineChars="200"/>
        <w:jc w:val="center"/>
        <w:textAlignment w:val="auto"/>
        <w:rPr>
          <w:color w:val="auto"/>
        </w:rPr>
      </w:pPr>
    </w:p>
    <w:p w14:paraId="7AD61405">
      <w:pPr>
        <w:keepNext w:val="0"/>
        <w:keepLines w:val="0"/>
        <w:pageBreakBefore w:val="0"/>
        <w:kinsoku/>
        <w:wordWrap/>
        <w:overflowPunct/>
        <w:topLinePunct w:val="0"/>
        <w:bidi w:val="0"/>
        <w:adjustRightInd/>
        <w:snapToGrid/>
        <w:spacing w:line="540" w:lineRule="exact"/>
        <w:ind w:left="0" w:leftChars="0" w:right="0" w:firstLine="420" w:firstLineChars="200"/>
        <w:jc w:val="center"/>
        <w:textAlignment w:val="auto"/>
        <w:rPr>
          <w:color w:val="auto"/>
        </w:rPr>
      </w:pPr>
    </w:p>
    <w:p w14:paraId="1B5AF581">
      <w:pPr>
        <w:keepNext w:val="0"/>
        <w:keepLines w:val="0"/>
        <w:pageBreakBefore w:val="0"/>
        <w:kinsoku/>
        <w:wordWrap/>
        <w:overflowPunct/>
        <w:topLinePunct w:val="0"/>
        <w:bidi w:val="0"/>
        <w:adjustRightInd/>
        <w:snapToGrid/>
        <w:spacing w:line="540" w:lineRule="exact"/>
        <w:ind w:left="0" w:leftChars="0" w:right="0" w:firstLine="420" w:firstLineChars="200"/>
        <w:jc w:val="center"/>
        <w:textAlignment w:val="auto"/>
        <w:rPr>
          <w:color w:val="auto"/>
        </w:rPr>
      </w:pPr>
    </w:p>
    <w:p w14:paraId="0C9D9406">
      <w:pPr>
        <w:keepNext w:val="0"/>
        <w:keepLines w:val="0"/>
        <w:pageBreakBefore w:val="0"/>
        <w:kinsoku/>
        <w:wordWrap/>
        <w:overflowPunct/>
        <w:topLinePunct w:val="0"/>
        <w:bidi w:val="0"/>
        <w:adjustRightInd/>
        <w:snapToGrid/>
        <w:spacing w:line="540" w:lineRule="exact"/>
        <w:ind w:left="0" w:leftChars="0" w:right="0" w:firstLine="420" w:firstLineChars="200"/>
        <w:textAlignment w:val="auto"/>
        <w:rPr>
          <w:color w:val="auto"/>
        </w:rPr>
      </w:pPr>
    </w:p>
    <w:p w14:paraId="68397C4A">
      <w:pPr>
        <w:keepNext w:val="0"/>
        <w:keepLines w:val="0"/>
        <w:pageBreakBefore w:val="0"/>
        <w:kinsoku/>
        <w:wordWrap/>
        <w:overflowPunct/>
        <w:topLinePunct w:val="0"/>
        <w:bidi w:val="0"/>
        <w:adjustRightInd/>
        <w:snapToGrid/>
        <w:spacing w:line="540" w:lineRule="exact"/>
        <w:ind w:left="0" w:leftChars="0" w:right="0" w:firstLine="420" w:firstLineChars="200"/>
        <w:jc w:val="center"/>
        <w:textAlignment w:val="auto"/>
        <w:rPr>
          <w:color w:val="auto"/>
        </w:rPr>
      </w:pPr>
    </w:p>
    <w:p w14:paraId="03622351">
      <w:pPr>
        <w:keepNext w:val="0"/>
        <w:keepLines w:val="0"/>
        <w:pageBreakBefore w:val="0"/>
        <w:kinsoku/>
        <w:wordWrap/>
        <w:overflowPunct/>
        <w:topLinePunct w:val="0"/>
        <w:bidi w:val="0"/>
        <w:adjustRightInd/>
        <w:snapToGrid/>
        <w:spacing w:line="540" w:lineRule="exact"/>
        <w:ind w:left="0" w:leftChars="0" w:right="0" w:firstLine="420" w:firstLineChars="200"/>
        <w:textAlignment w:val="auto"/>
        <w:rPr>
          <w:color w:val="auto"/>
        </w:rPr>
      </w:pPr>
    </w:p>
    <w:p w14:paraId="3A7E10E5">
      <w:pPr>
        <w:keepNext w:val="0"/>
        <w:keepLines w:val="0"/>
        <w:pageBreakBefore w:val="0"/>
        <w:kinsoku/>
        <w:wordWrap/>
        <w:overflowPunct/>
        <w:topLinePunct w:val="0"/>
        <w:bidi w:val="0"/>
        <w:adjustRightInd/>
        <w:snapToGrid/>
        <w:spacing w:line="540" w:lineRule="exact"/>
        <w:ind w:left="0" w:leftChars="0" w:right="0" w:firstLine="643" w:firstLineChars="200"/>
        <w:jc w:val="both"/>
        <w:textAlignment w:val="auto"/>
        <w:rPr>
          <w:b/>
          <w:color w:val="auto"/>
          <w:sz w:val="32"/>
          <w:szCs w:val="32"/>
        </w:rPr>
      </w:pPr>
    </w:p>
    <w:p w14:paraId="260F7C4A">
      <w:pPr>
        <w:keepNext w:val="0"/>
        <w:keepLines w:val="0"/>
        <w:pageBreakBefore w:val="0"/>
        <w:kinsoku/>
        <w:wordWrap/>
        <w:overflowPunct/>
        <w:topLinePunct w:val="0"/>
        <w:bidi w:val="0"/>
        <w:adjustRightInd/>
        <w:snapToGrid/>
        <w:spacing w:line="540" w:lineRule="exact"/>
        <w:ind w:left="0" w:leftChars="0" w:right="0" w:firstLine="643" w:firstLineChars="200"/>
        <w:jc w:val="both"/>
        <w:textAlignment w:val="auto"/>
        <w:rPr>
          <w:rFonts w:hint="eastAsia" w:eastAsia="宋体"/>
          <w:b/>
          <w:color w:val="auto"/>
          <w:sz w:val="32"/>
          <w:szCs w:val="32"/>
          <w:highlight w:val="none"/>
          <w:lang w:val="en-US" w:eastAsia="zh-CN"/>
        </w:rPr>
      </w:pPr>
      <w:r>
        <w:rPr>
          <w:rFonts w:hint="eastAsia"/>
          <w:b/>
          <w:color w:val="auto"/>
          <w:sz w:val="32"/>
          <w:szCs w:val="32"/>
          <w:highlight w:val="none"/>
        </w:rPr>
        <w:t>甲</w:t>
      </w:r>
      <w:r>
        <w:rPr>
          <w:rFonts w:hint="eastAsia"/>
          <w:b/>
          <w:color w:val="auto"/>
          <w:sz w:val="32"/>
          <w:szCs w:val="32"/>
          <w:highlight w:val="none"/>
          <w:lang w:val="en-US" w:eastAsia="zh-CN"/>
        </w:rPr>
        <w:t xml:space="preserve">    </w:t>
      </w:r>
      <w:r>
        <w:rPr>
          <w:rFonts w:hint="eastAsia"/>
          <w:b/>
          <w:color w:val="auto"/>
          <w:sz w:val="32"/>
          <w:szCs w:val="32"/>
          <w:highlight w:val="none"/>
        </w:rPr>
        <w:t>方：</w:t>
      </w:r>
      <w:r>
        <w:rPr>
          <w:rFonts w:hint="eastAsia"/>
          <w:b/>
          <w:color w:val="auto"/>
          <w:sz w:val="32"/>
          <w:szCs w:val="32"/>
          <w:highlight w:val="none"/>
          <w:lang w:val="en-US" w:eastAsia="zh-CN"/>
        </w:rPr>
        <w:t xml:space="preserve"> </w:t>
      </w:r>
    </w:p>
    <w:p w14:paraId="3559DB07">
      <w:pPr>
        <w:keepNext w:val="0"/>
        <w:keepLines w:val="0"/>
        <w:pageBreakBefore w:val="0"/>
        <w:kinsoku/>
        <w:wordWrap/>
        <w:overflowPunct/>
        <w:topLinePunct w:val="0"/>
        <w:bidi w:val="0"/>
        <w:adjustRightInd/>
        <w:snapToGrid/>
        <w:spacing w:line="540" w:lineRule="exact"/>
        <w:ind w:left="0" w:leftChars="0" w:right="0" w:firstLine="643" w:firstLineChars="200"/>
        <w:jc w:val="both"/>
        <w:textAlignment w:val="auto"/>
        <w:rPr>
          <w:rFonts w:hint="eastAsia"/>
          <w:b/>
          <w:color w:val="auto"/>
          <w:sz w:val="32"/>
          <w:szCs w:val="32"/>
          <w:highlight w:val="none"/>
          <w:lang w:val="en-US" w:eastAsia="zh-CN"/>
        </w:rPr>
      </w:pPr>
      <w:r>
        <w:rPr>
          <w:rFonts w:hint="eastAsia"/>
          <w:b/>
          <w:color w:val="auto"/>
          <w:sz w:val="32"/>
          <w:szCs w:val="32"/>
          <w:highlight w:val="none"/>
        </w:rPr>
        <w:t>乙</w:t>
      </w:r>
      <w:r>
        <w:rPr>
          <w:rFonts w:hint="eastAsia"/>
          <w:b/>
          <w:color w:val="auto"/>
          <w:sz w:val="32"/>
          <w:szCs w:val="32"/>
          <w:highlight w:val="none"/>
          <w:lang w:val="en-US" w:eastAsia="zh-CN"/>
        </w:rPr>
        <w:t xml:space="preserve">    </w:t>
      </w:r>
      <w:r>
        <w:rPr>
          <w:rFonts w:hint="eastAsia"/>
          <w:b/>
          <w:color w:val="auto"/>
          <w:sz w:val="32"/>
          <w:szCs w:val="32"/>
          <w:highlight w:val="none"/>
        </w:rPr>
        <w:t>方：</w:t>
      </w:r>
      <w:r>
        <w:rPr>
          <w:rFonts w:hint="eastAsia"/>
          <w:b/>
          <w:color w:val="auto"/>
          <w:sz w:val="32"/>
          <w:szCs w:val="32"/>
          <w:highlight w:val="none"/>
          <w:lang w:val="en-US" w:eastAsia="zh-CN"/>
        </w:rPr>
        <w:t xml:space="preserve"> </w:t>
      </w:r>
    </w:p>
    <w:p w14:paraId="371C579B">
      <w:pPr>
        <w:keepNext w:val="0"/>
        <w:keepLines w:val="0"/>
        <w:pageBreakBefore w:val="0"/>
        <w:numPr>
          <w:ilvl w:val="0"/>
          <w:numId w:val="0"/>
        </w:numPr>
        <w:kinsoku/>
        <w:wordWrap/>
        <w:overflowPunct/>
        <w:topLinePunct w:val="0"/>
        <w:bidi w:val="0"/>
        <w:adjustRightInd/>
        <w:snapToGrid/>
        <w:spacing w:line="540" w:lineRule="exact"/>
        <w:ind w:left="0" w:leftChars="0" w:right="0" w:firstLine="643" w:firstLineChars="200"/>
        <w:jc w:val="both"/>
        <w:textAlignment w:val="auto"/>
        <w:rPr>
          <w:rFonts w:hint="default"/>
          <w:b/>
          <w:color w:val="auto"/>
          <w:sz w:val="32"/>
          <w:szCs w:val="32"/>
          <w:highlight w:val="none"/>
          <w:lang w:val="en-US" w:eastAsia="zh-CN"/>
        </w:rPr>
      </w:pPr>
      <w:r>
        <w:rPr>
          <w:rFonts w:hint="eastAsia"/>
          <w:b/>
          <w:color w:val="auto"/>
          <w:sz w:val="32"/>
          <w:szCs w:val="32"/>
          <w:highlight w:val="none"/>
          <w:lang w:val="en-US" w:eastAsia="zh-CN"/>
        </w:rPr>
        <w:t>签订地点：洛阳市新安县产业集聚区</w:t>
      </w:r>
    </w:p>
    <w:p w14:paraId="6C44C2D2">
      <w:pPr>
        <w:keepNext w:val="0"/>
        <w:keepLines w:val="0"/>
        <w:pageBreakBefore w:val="0"/>
        <w:kinsoku/>
        <w:wordWrap/>
        <w:overflowPunct/>
        <w:topLinePunct w:val="0"/>
        <w:bidi w:val="0"/>
        <w:adjustRightInd/>
        <w:snapToGrid/>
        <w:spacing w:line="540" w:lineRule="exact"/>
        <w:ind w:left="0" w:leftChars="0" w:right="0" w:firstLine="560" w:firstLineChars="200"/>
        <w:jc w:val="right"/>
        <w:textAlignment w:val="auto"/>
        <w:rPr>
          <w:bCs/>
          <w:color w:val="auto"/>
          <w:sz w:val="28"/>
          <w:szCs w:val="28"/>
        </w:rPr>
        <w:sectPr>
          <w:headerReference r:id="rId3" w:type="default"/>
          <w:footerReference r:id="rId4" w:type="default"/>
          <w:pgSz w:w="11907" w:h="16839"/>
          <w:pgMar w:top="1134" w:right="1418" w:bottom="1418" w:left="1418" w:header="1134" w:footer="992" w:gutter="0"/>
          <w:pgNumType w:fmt="decimal" w:start="1"/>
          <w:cols w:space="720" w:num="1"/>
          <w:docGrid w:type="lines" w:linePitch="312" w:charSpace="0"/>
        </w:sectPr>
      </w:pPr>
      <w:r>
        <w:rPr>
          <w:bCs/>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-147320</wp:posOffset>
                </wp:positionH>
                <wp:positionV relativeFrom="paragraph">
                  <wp:posOffset>8758555</wp:posOffset>
                </wp:positionV>
                <wp:extent cx="6267450" cy="600075"/>
                <wp:effectExtent l="8255" t="7620" r="10795" b="20955"/>
                <wp:wrapNone/>
                <wp:docPr id="2" name="矩形 7"/>
                <wp:cNvGraphicFramePr/>
                <a:graphic xmlns:a="http://schemas.openxmlformats.org/drawingml/2006/main">
                  <a:graphicData uri="http://schemas.microsoft.com/office/word/2010/wordprocessingShape">
                    <wps:wsp>
                      <wps:cNvSpPr/>
                      <wps:spPr>
                        <a:xfrm>
                          <a:off x="0" y="0"/>
                          <a:ext cx="6267450" cy="60007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12ADCA90"/>
                        </w:txbxContent>
                      </wps:txbx>
                      <wps:bodyPr upright="1"/>
                    </wps:wsp>
                  </a:graphicData>
                </a:graphic>
              </wp:anchor>
            </w:drawing>
          </mc:Choice>
          <mc:Fallback>
            <w:pict>
              <v:rect id="矩形 7" o:spid="_x0000_s1026" o:spt="1" style="position:absolute;left:0pt;margin-left:-11.6pt;margin-top:689.65pt;height:47.25pt;width:493.5pt;z-index:251660288;mso-width-relative:page;mso-height-relative:page;" fillcolor="#FFFFFF" filled="t" stroked="t" coordsize="21600,21600" o:gfxdata="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juYRNkAAAANAQAADwAAAAAAAAABACAAAAAiAAAAZHJzL2Rvd25y&#10;ZXYueG1sUEsBAhQAFAAAAAgAh07iQGiw66M2AgAAsQQAAA4AAAAAAAAAAQAgAAAAKAEAAGRycy9l&#10;Mm9Eb2MueG1sUEsFBgAAAAAGAAYAWQEAANAFAAAAAA==&#10;">
                <v:fill type="gradient" on="t" color2="#FFFFFF" angle="90" focus="100%" focussize="0,0">
                  <o:fill type="gradientUnscaled" v:ext="backwardCompatible"/>
                </v:fill>
                <v:stroke weight="1.25pt" color="#FFFFFF" joinstyle="miter"/>
                <v:imagedata o:title=""/>
                <o:lock v:ext="edit" aspectratio="f"/>
                <v:textbox>
                  <w:txbxContent>
                    <w:p w14:paraId="12ADCA90"/>
                  </w:txbxContent>
                </v:textbox>
              </v:rect>
            </w:pict>
          </mc:Fallback>
        </mc:AlternateContent>
      </w:r>
    </w:p>
    <w:p w14:paraId="3398719F">
      <w:pPr>
        <w:keepNext w:val="0"/>
        <w:keepLines w:val="0"/>
        <w:pageBreakBefore w:val="0"/>
        <w:widowControl w:val="0"/>
        <w:kinsoku/>
        <w:wordWrap/>
        <w:overflowPunct/>
        <w:topLinePunct w:val="0"/>
        <w:bidi w:val="0"/>
        <w:adjustRightInd/>
        <w:snapToGrid/>
        <w:spacing w:line="540" w:lineRule="exact"/>
        <w:ind w:left="0" w:leftChars="0" w:right="0" w:firstLine="723" w:firstLineChars="200"/>
        <w:jc w:val="center"/>
        <w:textAlignment w:val="auto"/>
        <w:rPr>
          <w:bCs/>
          <w:color w:val="auto"/>
          <w:sz w:val="28"/>
          <w:szCs w:val="28"/>
          <w:shd w:val="clear" w:color="auto" w:fill="FFFFFF"/>
        </w:rPr>
      </w:pPr>
      <w:r>
        <w:rPr>
          <w:rFonts w:hint="eastAsia" w:ascii="方正小标宋简体" w:eastAsia="方正小标宋简体" w:hAnsiTheme="minorEastAsia" w:cstheme="minorEastAsia"/>
          <w:b/>
          <w:color w:val="auto"/>
          <w:kern w:val="2"/>
          <w:sz w:val="36"/>
          <w:szCs w:val="36"/>
          <w:lang w:eastAsia="zh-CN"/>
        </w:rPr>
        <w:t>危险</w:t>
      </w:r>
      <w:r>
        <w:rPr>
          <w:rFonts w:hint="eastAsia" w:ascii="方正小标宋简体" w:eastAsia="方正小标宋简体" w:hAnsiTheme="minorEastAsia" w:cstheme="minorEastAsia"/>
          <w:b/>
          <w:color w:val="auto"/>
          <w:kern w:val="2"/>
          <w:sz w:val="36"/>
          <w:szCs w:val="36"/>
        </w:rPr>
        <w:t>废物污染防治物联网监管系统运营维护合同</w:t>
      </w:r>
    </w:p>
    <w:p w14:paraId="0BBC29F0">
      <w:pPr>
        <w:keepNext w:val="0"/>
        <w:keepLines w:val="0"/>
        <w:pageBreakBefore w:val="0"/>
        <w:widowControl w:val="0"/>
        <w:kinsoku/>
        <w:wordWrap/>
        <w:overflowPunct/>
        <w:topLinePunct w:val="0"/>
        <w:bidi w:val="0"/>
        <w:adjustRightInd/>
        <w:snapToGrid/>
        <w:spacing w:line="540" w:lineRule="exact"/>
        <w:ind w:left="0" w:leftChars="0" w:right="0" w:firstLine="560" w:firstLineChars="200"/>
        <w:jc w:val="both"/>
        <w:textAlignment w:val="auto"/>
        <w:rPr>
          <w:rFonts w:hint="eastAsia"/>
          <w:bCs/>
          <w:color w:val="auto"/>
          <w:sz w:val="28"/>
          <w:szCs w:val="28"/>
          <w:shd w:val="clear" w:color="auto" w:fill="FFFFFF"/>
        </w:rPr>
      </w:pPr>
    </w:p>
    <w:p w14:paraId="73CFE0B2">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firstLineChars="200"/>
        <w:jc w:val="both"/>
        <w:textAlignment w:val="auto"/>
        <w:rPr>
          <w:rFonts w:hint="eastAsia"/>
          <w:bCs/>
          <w:color w:val="auto"/>
          <w:sz w:val="28"/>
          <w:szCs w:val="28"/>
          <w:shd w:val="clear" w:color="auto" w:fill="FFFFFF"/>
        </w:rPr>
      </w:pPr>
      <w:r>
        <w:rPr>
          <w:rFonts w:hint="eastAsia"/>
          <w:bCs/>
          <w:color w:val="auto"/>
          <w:sz w:val="28"/>
          <w:szCs w:val="28"/>
          <w:shd w:val="clear" w:color="auto" w:fill="FFFFFF"/>
        </w:rPr>
        <w:t>甲方：</w:t>
      </w:r>
      <w:r>
        <w:rPr>
          <w:rFonts w:hint="eastAsia"/>
          <w:bCs/>
          <w:color w:val="auto"/>
          <w:sz w:val="28"/>
          <w:szCs w:val="28"/>
          <w:shd w:val="clear" w:color="auto" w:fill="FFFFFF"/>
          <w:lang w:val="en-US" w:eastAsia="zh-CN"/>
        </w:rPr>
        <w:t xml:space="preserve"> </w:t>
      </w:r>
      <w:r>
        <w:rPr>
          <w:rFonts w:hint="eastAsia"/>
          <w:bCs/>
          <w:color w:val="auto"/>
          <w:sz w:val="28"/>
          <w:szCs w:val="28"/>
          <w:shd w:val="clear" w:color="auto" w:fill="FFFFFF"/>
        </w:rPr>
        <w:t xml:space="preserve">                        </w:t>
      </w:r>
    </w:p>
    <w:p w14:paraId="7B8AB681">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firstLineChars="200"/>
        <w:jc w:val="both"/>
        <w:textAlignment w:val="auto"/>
        <w:rPr>
          <w:rFonts w:hint="default"/>
          <w:bCs/>
          <w:color w:val="auto"/>
          <w:sz w:val="28"/>
          <w:szCs w:val="28"/>
          <w:shd w:val="clear" w:color="auto" w:fill="FFFFFF"/>
          <w:lang w:val="en-US"/>
        </w:rPr>
      </w:pPr>
      <w:r>
        <w:rPr>
          <w:rFonts w:hint="eastAsia"/>
          <w:bCs/>
          <w:color w:val="auto"/>
          <w:sz w:val="28"/>
          <w:szCs w:val="28"/>
          <w:shd w:val="clear" w:color="auto" w:fill="FFFFFF"/>
        </w:rPr>
        <w:t>统一社会信用代码：</w:t>
      </w:r>
      <w:r>
        <w:rPr>
          <w:rFonts w:hint="eastAsia"/>
          <w:bCs/>
          <w:color w:val="auto"/>
          <w:sz w:val="28"/>
          <w:szCs w:val="28"/>
          <w:shd w:val="clear" w:color="auto" w:fill="FFFFFF"/>
          <w:lang w:val="en-US" w:eastAsia="zh-CN"/>
        </w:rPr>
        <w:t xml:space="preserve"> </w:t>
      </w:r>
    </w:p>
    <w:p w14:paraId="2C521997">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firstLineChars="200"/>
        <w:jc w:val="both"/>
        <w:textAlignment w:val="auto"/>
        <w:rPr>
          <w:rFonts w:hint="default" w:eastAsia="宋体"/>
          <w:bCs/>
          <w:color w:val="auto"/>
          <w:sz w:val="28"/>
          <w:szCs w:val="28"/>
          <w:shd w:val="clear" w:color="auto" w:fill="FFFFFF"/>
          <w:lang w:val="en-US" w:eastAsia="zh-CN"/>
        </w:rPr>
      </w:pPr>
      <w:r>
        <w:rPr>
          <w:rFonts w:hint="eastAsia"/>
          <w:bCs/>
          <w:color w:val="auto"/>
          <w:sz w:val="28"/>
          <w:szCs w:val="28"/>
          <w:shd w:val="clear" w:color="auto" w:fill="FFFFFF"/>
        </w:rPr>
        <w:t>乙方：</w:t>
      </w:r>
      <w:r>
        <w:rPr>
          <w:rFonts w:hint="eastAsia"/>
          <w:bCs/>
          <w:color w:val="auto"/>
          <w:sz w:val="28"/>
          <w:szCs w:val="28"/>
          <w:shd w:val="clear" w:color="auto" w:fill="FFFFFF"/>
          <w:lang w:val="en-US" w:eastAsia="zh-CN"/>
        </w:rPr>
        <w:t xml:space="preserve">        </w:t>
      </w:r>
      <w:r>
        <w:rPr>
          <w:rFonts w:hint="eastAsia"/>
          <w:bCs/>
          <w:color w:val="auto"/>
          <w:sz w:val="28"/>
          <w:szCs w:val="28"/>
          <w:shd w:val="clear" w:color="auto" w:fill="FFFFFF"/>
        </w:rPr>
        <w:t xml:space="preserve"> </w:t>
      </w:r>
      <w:r>
        <w:rPr>
          <w:rFonts w:hint="eastAsia"/>
          <w:bCs/>
          <w:color w:val="auto"/>
          <w:sz w:val="28"/>
          <w:szCs w:val="28"/>
          <w:shd w:val="clear" w:color="auto" w:fill="FFFFFF"/>
          <w:lang w:val="en-US" w:eastAsia="zh-CN"/>
        </w:rPr>
        <w:t xml:space="preserve">                         </w:t>
      </w:r>
    </w:p>
    <w:p w14:paraId="7C800C0F">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firstLineChars="200"/>
        <w:jc w:val="both"/>
        <w:textAlignment w:val="auto"/>
        <w:rPr>
          <w:rFonts w:hint="eastAsia" w:eastAsia="宋体"/>
          <w:bCs/>
          <w:color w:val="auto"/>
          <w:sz w:val="28"/>
          <w:szCs w:val="28"/>
          <w:shd w:val="clear" w:color="auto" w:fill="FFFFFF"/>
          <w:lang w:eastAsia="zh-CN"/>
        </w:rPr>
      </w:pPr>
      <w:r>
        <w:rPr>
          <w:rFonts w:hint="eastAsia"/>
          <w:bCs/>
          <w:color w:val="auto"/>
          <w:sz w:val="28"/>
          <w:szCs w:val="28"/>
          <w:shd w:val="clear" w:color="auto" w:fill="FFFFFF"/>
        </w:rPr>
        <w:t>统一社会信用代码：</w:t>
      </w:r>
      <w:r>
        <w:rPr>
          <w:rFonts w:hint="eastAsia"/>
          <w:bCs/>
          <w:color w:val="auto"/>
          <w:sz w:val="28"/>
          <w:szCs w:val="28"/>
          <w:shd w:val="clear" w:color="auto" w:fill="FFFFFF"/>
          <w:lang w:val="en-US" w:eastAsia="zh-CN"/>
        </w:rPr>
        <w:t xml:space="preserve"> </w:t>
      </w:r>
    </w:p>
    <w:p w14:paraId="7D4EA783">
      <w:pPr>
        <w:keepNext w:val="0"/>
        <w:keepLines w:val="0"/>
        <w:pageBreakBefore w:val="0"/>
        <w:kinsoku/>
        <w:wordWrap/>
        <w:overflowPunct/>
        <w:topLinePunct w:val="0"/>
        <w:autoSpaceDE/>
        <w:autoSpaceDN/>
        <w:bidi w:val="0"/>
        <w:adjustRightInd/>
        <w:snapToGrid/>
        <w:spacing w:line="540" w:lineRule="exact"/>
        <w:ind w:left="0" w:leftChars="0" w:right="0" w:firstLine="560" w:firstLineChars="200"/>
        <w:textAlignment w:val="auto"/>
        <w:rPr>
          <w:bCs/>
          <w:color w:val="auto"/>
          <w:sz w:val="28"/>
          <w:szCs w:val="28"/>
          <w:u w:val="single"/>
          <w:shd w:val="clear" w:color="auto" w:fill="FFFFFF"/>
        </w:rPr>
      </w:pPr>
      <w:r>
        <w:rPr>
          <w:rFonts w:hint="eastAsia"/>
          <w:bCs/>
          <w:color w:val="auto"/>
          <w:sz w:val="28"/>
          <w:szCs w:val="28"/>
          <w:shd w:val="clear" w:color="auto" w:fill="FFFFFF"/>
        </w:rPr>
        <w:t>为提高甲方对自身企业的</w:t>
      </w:r>
      <w:r>
        <w:rPr>
          <w:rFonts w:hint="eastAsia"/>
          <w:bCs/>
          <w:color w:val="auto"/>
          <w:sz w:val="28"/>
          <w:szCs w:val="28"/>
          <w:shd w:val="clear" w:color="auto" w:fill="FFFFFF"/>
          <w:lang w:eastAsia="zh-CN"/>
        </w:rPr>
        <w:t>危险</w:t>
      </w:r>
      <w:r>
        <w:rPr>
          <w:rFonts w:hint="eastAsia"/>
          <w:bCs/>
          <w:color w:val="auto"/>
          <w:sz w:val="28"/>
          <w:szCs w:val="28"/>
          <w:shd w:val="clear" w:color="auto" w:fill="FFFFFF"/>
        </w:rPr>
        <w:t>废物的信息化管理水平，降低甲方在贮存、转运、处置和利用</w:t>
      </w:r>
      <w:r>
        <w:rPr>
          <w:rFonts w:hint="eastAsia"/>
          <w:bCs/>
          <w:color w:val="auto"/>
          <w:sz w:val="28"/>
          <w:szCs w:val="28"/>
          <w:shd w:val="clear" w:color="auto" w:fill="FFFFFF"/>
          <w:lang w:eastAsia="zh-CN"/>
        </w:rPr>
        <w:t>危险</w:t>
      </w:r>
      <w:r>
        <w:rPr>
          <w:rFonts w:hint="eastAsia"/>
          <w:bCs/>
          <w:color w:val="auto"/>
          <w:sz w:val="28"/>
          <w:szCs w:val="28"/>
          <w:shd w:val="clear" w:color="auto" w:fill="FFFFFF"/>
        </w:rPr>
        <w:t>废物过程中的风险，减少甲方内部</w:t>
      </w:r>
      <w:r>
        <w:rPr>
          <w:rFonts w:hint="eastAsia"/>
          <w:bCs/>
          <w:color w:val="auto"/>
          <w:sz w:val="28"/>
          <w:szCs w:val="28"/>
          <w:shd w:val="clear" w:color="auto" w:fill="FFFFFF"/>
          <w:lang w:eastAsia="zh-CN"/>
        </w:rPr>
        <w:t>危险</w:t>
      </w:r>
      <w:r>
        <w:rPr>
          <w:rFonts w:hint="eastAsia"/>
          <w:bCs/>
          <w:color w:val="auto"/>
          <w:sz w:val="28"/>
          <w:szCs w:val="28"/>
          <w:shd w:val="clear" w:color="auto" w:fill="FFFFFF"/>
        </w:rPr>
        <w:t>废物管理的人力成本，更加方便、快捷、安全、有效地实现甲方与监管单位之间</w:t>
      </w:r>
      <w:r>
        <w:rPr>
          <w:rFonts w:hint="eastAsia"/>
          <w:bCs/>
          <w:color w:val="auto"/>
          <w:sz w:val="28"/>
          <w:szCs w:val="28"/>
          <w:shd w:val="clear" w:color="auto" w:fill="FFFFFF"/>
          <w:lang w:eastAsia="zh-CN"/>
        </w:rPr>
        <w:t>危险</w:t>
      </w:r>
      <w:r>
        <w:rPr>
          <w:rFonts w:hint="eastAsia"/>
          <w:bCs/>
          <w:color w:val="auto"/>
          <w:sz w:val="28"/>
          <w:szCs w:val="28"/>
          <w:shd w:val="clear" w:color="auto" w:fill="FFFFFF"/>
        </w:rPr>
        <w:t>废物管理信息的互联互通。甲</w:t>
      </w:r>
      <w:r>
        <w:rPr>
          <w:rFonts w:hint="eastAsia"/>
          <w:color w:val="auto"/>
          <w:sz w:val="28"/>
          <w:szCs w:val="28"/>
        </w:rPr>
        <w:t>乙双方在平等自愿的基础上，依据相关法律规定</w:t>
      </w:r>
      <w:r>
        <w:rPr>
          <w:rFonts w:hint="eastAsia"/>
          <w:bCs/>
          <w:color w:val="auto"/>
          <w:sz w:val="28"/>
          <w:szCs w:val="28"/>
        </w:rPr>
        <w:t>，</w:t>
      </w:r>
      <w:r>
        <w:rPr>
          <w:rFonts w:hint="eastAsia"/>
          <w:color w:val="auto"/>
          <w:sz w:val="28"/>
          <w:szCs w:val="28"/>
        </w:rPr>
        <w:t>经充分协商</w:t>
      </w:r>
      <w:r>
        <w:rPr>
          <w:rFonts w:hint="eastAsia"/>
          <w:bCs/>
          <w:color w:val="auto"/>
          <w:sz w:val="28"/>
          <w:szCs w:val="28"/>
          <w:shd w:val="clear" w:color="auto" w:fill="FFFFFF"/>
        </w:rPr>
        <w:t>一致，订立本合同条款，以资共同遵守。</w:t>
      </w:r>
    </w:p>
    <w:p w14:paraId="4AF0D31D">
      <w:pPr>
        <w:pStyle w:val="51"/>
        <w:keepNext w:val="0"/>
        <w:keepLines w:val="0"/>
        <w:pageBreakBefore w:val="0"/>
        <w:numPr>
          <w:ilvl w:val="0"/>
          <w:numId w:val="3"/>
        </w:numPr>
        <w:kinsoku/>
        <w:wordWrap/>
        <w:overflowPunct/>
        <w:topLinePunct w:val="0"/>
        <w:autoSpaceDE/>
        <w:autoSpaceDN/>
        <w:bidi w:val="0"/>
        <w:adjustRightInd/>
        <w:snapToGrid/>
        <w:spacing w:line="540" w:lineRule="exact"/>
        <w:ind w:left="0" w:leftChars="0" w:right="0" w:firstLine="562" w:firstLineChars="200"/>
        <w:textAlignment w:val="auto"/>
        <w:rPr>
          <w:bCs/>
          <w:color w:val="auto"/>
          <w:sz w:val="28"/>
          <w:szCs w:val="28"/>
          <w:shd w:val="clear" w:color="auto" w:fill="FFFFFF"/>
        </w:rPr>
      </w:pPr>
      <w:r>
        <w:rPr>
          <w:rFonts w:hint="eastAsia"/>
          <w:b/>
          <w:bCs/>
          <w:color w:val="auto"/>
          <w:sz w:val="28"/>
          <w:szCs w:val="28"/>
          <w:shd w:val="clear" w:color="auto" w:fill="FFFFFF"/>
        </w:rPr>
        <w:t>委托事项</w:t>
      </w:r>
    </w:p>
    <w:p w14:paraId="397171BB">
      <w:pPr>
        <w:keepNext w:val="0"/>
        <w:keepLines w:val="0"/>
        <w:pageBreakBefore w:val="0"/>
        <w:tabs>
          <w:tab w:val="left" w:pos="330"/>
        </w:tabs>
        <w:kinsoku/>
        <w:wordWrap/>
        <w:overflowPunct/>
        <w:topLinePunct w:val="0"/>
        <w:autoSpaceDE/>
        <w:autoSpaceDN/>
        <w:bidi w:val="0"/>
        <w:adjustRightInd/>
        <w:snapToGrid/>
        <w:spacing w:line="540" w:lineRule="exact"/>
        <w:ind w:left="0" w:leftChars="0" w:right="0" w:firstLine="560" w:firstLineChars="200"/>
        <w:textAlignment w:val="auto"/>
        <w:rPr>
          <w:b/>
          <w:bCs/>
          <w:color w:val="auto"/>
          <w:sz w:val="28"/>
          <w:szCs w:val="28"/>
          <w:shd w:val="clear" w:color="auto" w:fill="FFFFFF"/>
        </w:rPr>
      </w:pPr>
      <w:r>
        <w:rPr>
          <w:rFonts w:hint="eastAsia"/>
          <w:bCs/>
          <w:color w:val="auto"/>
          <w:sz w:val="28"/>
          <w:szCs w:val="28"/>
          <w:shd w:val="clear" w:color="auto" w:fill="FFFFFF"/>
        </w:rPr>
        <w:t>甲方委托乙方进行</w:t>
      </w:r>
      <w:r>
        <w:rPr>
          <w:rFonts w:hint="eastAsia"/>
          <w:bCs/>
          <w:color w:val="auto"/>
          <w:sz w:val="28"/>
          <w:szCs w:val="28"/>
          <w:shd w:val="clear" w:color="auto" w:fill="FFFFFF"/>
          <w:lang w:eastAsia="zh-CN"/>
        </w:rPr>
        <w:t>危险</w:t>
      </w:r>
      <w:r>
        <w:rPr>
          <w:rFonts w:hint="eastAsia"/>
          <w:bCs/>
          <w:color w:val="auto"/>
          <w:sz w:val="28"/>
          <w:szCs w:val="28"/>
          <w:shd w:val="clear" w:color="auto" w:fill="FFFFFF"/>
        </w:rPr>
        <w:t>废物污染防治物联网监管系统（以下简称系统）的运营维护服务。</w:t>
      </w:r>
    </w:p>
    <w:p w14:paraId="00F7BDE5">
      <w:pPr>
        <w:pStyle w:val="51"/>
        <w:keepNext w:val="0"/>
        <w:keepLines w:val="0"/>
        <w:pageBreakBefore w:val="0"/>
        <w:numPr>
          <w:ilvl w:val="0"/>
          <w:numId w:val="3"/>
        </w:numPr>
        <w:kinsoku/>
        <w:wordWrap/>
        <w:overflowPunct/>
        <w:topLinePunct w:val="0"/>
        <w:autoSpaceDE/>
        <w:autoSpaceDN/>
        <w:bidi w:val="0"/>
        <w:adjustRightInd/>
        <w:snapToGrid/>
        <w:spacing w:line="540" w:lineRule="exact"/>
        <w:ind w:left="0" w:leftChars="0" w:right="0" w:firstLine="562" w:firstLineChars="200"/>
        <w:textAlignment w:val="auto"/>
        <w:rPr>
          <w:b/>
          <w:bCs/>
          <w:color w:val="auto"/>
          <w:sz w:val="28"/>
          <w:szCs w:val="28"/>
          <w:shd w:val="clear" w:color="auto" w:fill="FFFFFF"/>
        </w:rPr>
      </w:pPr>
      <w:r>
        <w:rPr>
          <w:rFonts w:hint="eastAsia"/>
          <w:b/>
          <w:bCs/>
          <w:color w:val="auto"/>
          <w:sz w:val="28"/>
          <w:szCs w:val="28"/>
          <w:shd w:val="clear" w:color="auto" w:fill="FFFFFF"/>
        </w:rPr>
        <w:t>合同期间</w:t>
      </w:r>
    </w:p>
    <w:p w14:paraId="072D0C34">
      <w:pPr>
        <w:keepNext w:val="0"/>
        <w:keepLines w:val="0"/>
        <w:pageBreakBefore w:val="0"/>
        <w:widowControl/>
        <w:tabs>
          <w:tab w:val="left" w:pos="330"/>
        </w:tabs>
        <w:kinsoku/>
        <w:wordWrap/>
        <w:overflowPunct/>
        <w:topLinePunct w:val="0"/>
        <w:autoSpaceDE/>
        <w:autoSpaceDN/>
        <w:bidi w:val="0"/>
        <w:adjustRightInd/>
        <w:snapToGrid/>
        <w:spacing w:line="540" w:lineRule="exact"/>
        <w:ind w:left="279" w:leftChars="133" w:right="0" w:firstLine="280" w:firstLineChars="100"/>
        <w:textAlignment w:val="auto"/>
        <w:rPr>
          <w:rFonts w:hint="eastAsia" w:ascii="宋体" w:hAnsi="宋体" w:eastAsia="宋体" w:cs="宋体"/>
          <w:bCs/>
          <w:color w:val="auto"/>
          <w:sz w:val="28"/>
          <w:szCs w:val="28"/>
          <w:shd w:val="clear" w:color="auto" w:fill="FFFFFF"/>
        </w:rPr>
      </w:pPr>
      <w:r>
        <w:rPr>
          <w:rFonts w:hint="eastAsia" w:ascii="宋体" w:hAnsi="宋体" w:eastAsia="宋体" w:cs="宋体"/>
          <w:bCs/>
          <w:color w:val="auto"/>
          <w:sz w:val="28"/>
          <w:szCs w:val="28"/>
          <w:shd w:val="clear" w:color="auto" w:fill="FFFFFF"/>
        </w:rPr>
        <w:t>乙方为甲方提供的运营维护期为</w:t>
      </w:r>
      <w:r>
        <w:rPr>
          <w:rFonts w:hint="eastAsia" w:ascii="宋体" w:hAnsi="宋体" w:eastAsia="宋体" w:cs="宋体"/>
          <w:bCs/>
          <w:color w:val="auto"/>
          <w:sz w:val="28"/>
          <w:szCs w:val="28"/>
          <w:u w:val="single"/>
          <w:shd w:val="clear" w:color="auto" w:fill="FFFFFF"/>
        </w:rPr>
        <w:t xml:space="preserve"> </w:t>
      </w:r>
      <w:r>
        <w:rPr>
          <w:rFonts w:hint="eastAsia" w:ascii="宋体" w:hAnsi="宋体" w:eastAsia="宋体" w:cs="宋体"/>
          <w:bCs/>
          <w:color w:val="auto"/>
          <w:sz w:val="28"/>
          <w:szCs w:val="28"/>
          <w:u w:val="single"/>
          <w:shd w:val="clear" w:color="auto" w:fill="FFFFFF"/>
          <w:lang w:val="en-US" w:eastAsia="zh-CN"/>
        </w:rPr>
        <w:t xml:space="preserve"> </w:t>
      </w:r>
      <w:r>
        <w:rPr>
          <w:rFonts w:hint="eastAsia" w:ascii="宋体" w:hAnsi="宋体" w:eastAsia="宋体" w:cs="宋体"/>
          <w:bCs/>
          <w:color w:val="auto"/>
          <w:sz w:val="28"/>
          <w:szCs w:val="28"/>
          <w:u w:val="single"/>
          <w:shd w:val="clear" w:color="auto" w:fill="FFFFFF"/>
        </w:rPr>
        <w:t xml:space="preserve"> </w:t>
      </w:r>
      <w:r>
        <w:rPr>
          <w:rFonts w:hint="eastAsia" w:ascii="宋体" w:hAnsi="宋体" w:eastAsia="宋体" w:cs="宋体"/>
          <w:bCs/>
          <w:color w:val="auto"/>
          <w:sz w:val="28"/>
          <w:szCs w:val="28"/>
          <w:shd w:val="clear" w:color="auto" w:fill="FFFFFF"/>
        </w:rPr>
        <w:t>年，</w:t>
      </w:r>
      <w:r>
        <w:rPr>
          <w:rFonts w:hint="eastAsia" w:ascii="宋体" w:hAnsi="宋体" w:eastAsia="宋体" w:cs="宋体"/>
          <w:bCs/>
          <w:color w:val="auto"/>
          <w:sz w:val="28"/>
          <w:szCs w:val="28"/>
          <w:shd w:val="clear" w:color="auto" w:fill="FFFFFF"/>
          <w:lang w:val="en-US" w:eastAsia="zh-CN"/>
        </w:rPr>
        <w:t>自</w:t>
      </w:r>
      <w:r>
        <w:rPr>
          <w:rFonts w:hint="eastAsia" w:ascii="宋体" w:hAnsi="宋体" w:eastAsia="宋体" w:cs="宋体"/>
          <w:bCs/>
          <w:color w:val="auto"/>
          <w:sz w:val="28"/>
          <w:szCs w:val="28"/>
          <w:u w:val="single"/>
          <w:shd w:val="clear" w:color="auto" w:fill="FFFFFF"/>
          <w:lang w:val="en-US" w:eastAsia="zh-CN"/>
        </w:rPr>
        <w:t xml:space="preserve">   </w:t>
      </w:r>
      <w:r>
        <w:rPr>
          <w:rFonts w:hint="eastAsia" w:ascii="宋体" w:hAnsi="宋体" w:eastAsia="宋体" w:cs="宋体"/>
          <w:bCs/>
          <w:color w:val="auto"/>
          <w:sz w:val="28"/>
          <w:szCs w:val="28"/>
          <w:shd w:val="clear" w:color="auto" w:fill="FFFFFF"/>
          <w:lang w:val="en-US" w:eastAsia="zh-CN"/>
        </w:rPr>
        <w:t>年</w:t>
      </w:r>
      <w:r>
        <w:rPr>
          <w:rFonts w:hint="eastAsia" w:ascii="宋体" w:hAnsi="宋体" w:eastAsia="宋体" w:cs="宋体"/>
          <w:bCs/>
          <w:color w:val="auto"/>
          <w:sz w:val="28"/>
          <w:szCs w:val="28"/>
          <w:u w:val="single"/>
          <w:shd w:val="clear" w:color="auto" w:fill="FFFFFF"/>
          <w:lang w:val="en-US" w:eastAsia="zh-CN"/>
        </w:rPr>
        <w:t xml:space="preserve"> </w:t>
      </w:r>
      <w:r>
        <w:rPr>
          <w:rFonts w:hint="eastAsia" w:cs="宋体"/>
          <w:bCs/>
          <w:color w:val="auto"/>
          <w:sz w:val="28"/>
          <w:szCs w:val="28"/>
          <w:u w:val="single"/>
          <w:shd w:val="clear" w:color="auto" w:fill="FFFFFF"/>
          <w:lang w:val="en-US" w:eastAsia="zh-CN"/>
        </w:rPr>
        <w:t xml:space="preserve"> </w:t>
      </w:r>
      <w:r>
        <w:rPr>
          <w:rFonts w:hint="eastAsia" w:ascii="宋体" w:hAnsi="宋体" w:eastAsia="宋体" w:cs="宋体"/>
          <w:bCs/>
          <w:color w:val="auto"/>
          <w:sz w:val="28"/>
          <w:szCs w:val="28"/>
          <w:u w:val="single"/>
          <w:shd w:val="clear" w:color="auto" w:fill="FFFFFF"/>
          <w:lang w:val="en-US" w:eastAsia="zh-CN"/>
        </w:rPr>
        <w:t xml:space="preserve"> </w:t>
      </w:r>
      <w:r>
        <w:rPr>
          <w:rFonts w:hint="eastAsia" w:ascii="宋体" w:hAnsi="宋体" w:eastAsia="宋体" w:cs="宋体"/>
          <w:bCs/>
          <w:color w:val="auto"/>
          <w:sz w:val="28"/>
          <w:szCs w:val="28"/>
          <w:shd w:val="clear" w:color="auto" w:fill="FFFFFF"/>
          <w:lang w:val="en-US" w:eastAsia="zh-CN"/>
        </w:rPr>
        <w:t>月</w:t>
      </w:r>
      <w:r>
        <w:rPr>
          <w:rFonts w:hint="eastAsia" w:ascii="宋体" w:hAnsi="宋体" w:eastAsia="宋体" w:cs="宋体"/>
          <w:bCs/>
          <w:color w:val="auto"/>
          <w:sz w:val="28"/>
          <w:szCs w:val="28"/>
          <w:u w:val="single"/>
          <w:shd w:val="clear" w:color="auto" w:fill="FFFFFF"/>
          <w:lang w:val="en-US" w:eastAsia="zh-CN"/>
        </w:rPr>
        <w:t xml:space="preserve"> </w:t>
      </w:r>
      <w:r>
        <w:rPr>
          <w:rFonts w:hint="eastAsia" w:cs="宋体"/>
          <w:bCs/>
          <w:color w:val="auto"/>
          <w:sz w:val="28"/>
          <w:szCs w:val="28"/>
          <w:u w:val="single"/>
          <w:shd w:val="clear" w:color="auto" w:fill="FFFFFF"/>
          <w:lang w:val="en-US" w:eastAsia="zh-CN"/>
        </w:rPr>
        <w:t xml:space="preserve">  </w:t>
      </w:r>
      <w:r>
        <w:rPr>
          <w:rFonts w:hint="eastAsia" w:ascii="宋体" w:hAnsi="宋体" w:eastAsia="宋体" w:cs="宋体"/>
          <w:bCs/>
          <w:color w:val="auto"/>
          <w:sz w:val="28"/>
          <w:szCs w:val="28"/>
          <w:shd w:val="clear" w:color="auto" w:fill="FFFFFF"/>
          <w:lang w:val="en-US" w:eastAsia="zh-CN"/>
        </w:rPr>
        <w:t>日至</w:t>
      </w:r>
      <w:r>
        <w:rPr>
          <w:rFonts w:hint="eastAsia" w:ascii="宋体" w:hAnsi="宋体" w:eastAsia="宋体" w:cs="宋体"/>
          <w:bCs/>
          <w:color w:val="auto"/>
          <w:sz w:val="28"/>
          <w:szCs w:val="28"/>
          <w:u w:val="single"/>
          <w:shd w:val="clear" w:color="auto" w:fill="FFFFFF"/>
          <w:lang w:val="en-US" w:eastAsia="zh-CN"/>
        </w:rPr>
        <w:t xml:space="preserve">  </w:t>
      </w:r>
      <w:r>
        <w:rPr>
          <w:rFonts w:hint="eastAsia" w:ascii="宋体" w:hAnsi="宋体" w:eastAsia="宋体" w:cs="宋体"/>
          <w:bCs/>
          <w:color w:val="auto"/>
          <w:sz w:val="28"/>
          <w:szCs w:val="28"/>
          <w:shd w:val="clear" w:color="auto" w:fill="FFFFFF"/>
          <w:lang w:val="en-US" w:eastAsia="zh-CN"/>
        </w:rPr>
        <w:t>年</w:t>
      </w:r>
      <w:r>
        <w:rPr>
          <w:rFonts w:hint="eastAsia" w:ascii="宋体" w:hAnsi="宋体" w:eastAsia="宋体" w:cs="宋体"/>
          <w:bCs/>
          <w:color w:val="auto"/>
          <w:sz w:val="28"/>
          <w:szCs w:val="28"/>
          <w:u w:val="single"/>
          <w:shd w:val="clear" w:color="auto" w:fill="FFFFFF"/>
          <w:lang w:val="en-US" w:eastAsia="zh-CN"/>
        </w:rPr>
        <w:t xml:space="preserve"> </w:t>
      </w:r>
      <w:r>
        <w:rPr>
          <w:rFonts w:hint="eastAsia" w:cs="宋体"/>
          <w:bCs/>
          <w:color w:val="auto"/>
          <w:sz w:val="28"/>
          <w:szCs w:val="28"/>
          <w:u w:val="single"/>
          <w:shd w:val="clear" w:color="auto" w:fill="FFFFFF"/>
          <w:lang w:val="en-US" w:eastAsia="zh-CN"/>
        </w:rPr>
        <w:t xml:space="preserve">  </w:t>
      </w:r>
      <w:r>
        <w:rPr>
          <w:rFonts w:hint="eastAsia" w:ascii="宋体" w:hAnsi="宋体" w:eastAsia="宋体" w:cs="宋体"/>
          <w:bCs/>
          <w:color w:val="auto"/>
          <w:sz w:val="28"/>
          <w:szCs w:val="28"/>
          <w:shd w:val="clear" w:color="auto" w:fill="FFFFFF"/>
          <w:lang w:val="en-US" w:eastAsia="zh-CN"/>
        </w:rPr>
        <w:t>月</w:t>
      </w:r>
      <w:r>
        <w:rPr>
          <w:rFonts w:hint="eastAsia" w:ascii="宋体" w:hAnsi="宋体" w:eastAsia="宋体" w:cs="宋体"/>
          <w:bCs/>
          <w:color w:val="auto"/>
          <w:sz w:val="28"/>
          <w:szCs w:val="28"/>
          <w:u w:val="single"/>
          <w:shd w:val="clear" w:color="auto" w:fill="FFFFFF"/>
          <w:lang w:val="en-US" w:eastAsia="zh-CN"/>
        </w:rPr>
        <w:t xml:space="preserve">    </w:t>
      </w:r>
      <w:r>
        <w:rPr>
          <w:rFonts w:hint="eastAsia" w:ascii="宋体" w:hAnsi="宋体" w:eastAsia="宋体" w:cs="宋体"/>
          <w:bCs/>
          <w:color w:val="auto"/>
          <w:sz w:val="28"/>
          <w:szCs w:val="28"/>
          <w:shd w:val="clear" w:color="auto" w:fill="FFFFFF"/>
          <w:lang w:val="en-US" w:eastAsia="zh-CN"/>
        </w:rPr>
        <w:t>日</w:t>
      </w:r>
      <w:r>
        <w:rPr>
          <w:rFonts w:hint="eastAsia" w:ascii="宋体" w:hAnsi="宋体" w:eastAsia="宋体" w:cs="宋体"/>
          <w:bCs/>
          <w:color w:val="auto"/>
          <w:sz w:val="28"/>
          <w:szCs w:val="28"/>
          <w:shd w:val="clear" w:color="auto" w:fill="FFFFFF"/>
        </w:rPr>
        <w:t>。</w:t>
      </w:r>
    </w:p>
    <w:p w14:paraId="1D6DF322">
      <w:pPr>
        <w:pStyle w:val="51"/>
        <w:keepNext w:val="0"/>
        <w:keepLines w:val="0"/>
        <w:pageBreakBefore w:val="0"/>
        <w:numPr>
          <w:ilvl w:val="0"/>
          <w:numId w:val="3"/>
        </w:numPr>
        <w:kinsoku/>
        <w:wordWrap/>
        <w:overflowPunct/>
        <w:topLinePunct w:val="0"/>
        <w:autoSpaceDE/>
        <w:autoSpaceDN/>
        <w:bidi w:val="0"/>
        <w:adjustRightInd/>
        <w:snapToGrid/>
        <w:spacing w:line="540" w:lineRule="exact"/>
        <w:ind w:left="0" w:leftChars="0" w:right="0" w:firstLine="562" w:firstLineChars="200"/>
        <w:textAlignment w:val="auto"/>
        <w:rPr>
          <w:b/>
          <w:bCs/>
          <w:color w:val="auto"/>
          <w:sz w:val="28"/>
          <w:szCs w:val="28"/>
          <w:shd w:val="clear" w:color="auto" w:fill="FFFFFF"/>
        </w:rPr>
      </w:pPr>
      <w:r>
        <w:rPr>
          <w:rFonts w:hint="eastAsia"/>
          <w:b/>
          <w:color w:val="auto"/>
          <w:sz w:val="28"/>
          <w:szCs w:val="28"/>
          <w:shd w:val="clear" w:color="auto" w:fill="FFFFFF"/>
        </w:rPr>
        <w:t>合同价款及支付方式</w:t>
      </w:r>
    </w:p>
    <w:p w14:paraId="6EF009B9">
      <w:pPr>
        <w:keepNext w:val="0"/>
        <w:keepLines w:val="0"/>
        <w:pageBreakBefore w:val="0"/>
        <w:numPr>
          <w:ilvl w:val="0"/>
          <w:numId w:val="4"/>
        </w:numPr>
        <w:kinsoku/>
        <w:wordWrap/>
        <w:overflowPunct/>
        <w:topLinePunct w:val="0"/>
        <w:autoSpaceDE/>
        <w:autoSpaceDN/>
        <w:bidi w:val="0"/>
        <w:adjustRightInd/>
        <w:snapToGrid/>
        <w:spacing w:line="540" w:lineRule="exact"/>
        <w:ind w:left="0" w:leftChars="0" w:right="0" w:firstLine="562" w:firstLineChars="200"/>
        <w:textAlignment w:val="auto"/>
        <w:rPr>
          <w:rFonts w:hint="eastAsia"/>
          <w:b/>
          <w:bCs/>
          <w:color w:val="auto"/>
          <w:sz w:val="28"/>
          <w:szCs w:val="28"/>
          <w:shd w:val="clear" w:color="auto" w:fill="FFFFFF"/>
        </w:rPr>
      </w:pPr>
      <w:r>
        <w:rPr>
          <w:rFonts w:hint="eastAsia"/>
          <w:b/>
          <w:bCs/>
          <w:color w:val="auto"/>
          <w:sz w:val="28"/>
          <w:szCs w:val="28"/>
          <w:shd w:val="clear" w:color="auto" w:fill="FFFFFF"/>
        </w:rPr>
        <w:t>合同价款</w:t>
      </w:r>
    </w:p>
    <w:p w14:paraId="43765CD9">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rFonts w:hint="eastAsia"/>
          <w:color w:val="auto"/>
          <w:sz w:val="28"/>
          <w:szCs w:val="28"/>
          <w:highlight w:val="none"/>
          <w:shd w:val="clear" w:color="auto" w:fill="FFFFFF"/>
          <w:lang w:eastAsia="zh-CN"/>
        </w:rPr>
      </w:pPr>
      <w:r>
        <w:rPr>
          <w:rFonts w:hint="eastAsia"/>
          <w:color w:val="auto"/>
          <w:sz w:val="28"/>
          <w:szCs w:val="28"/>
          <w:shd w:val="clear" w:color="auto" w:fill="FFFFFF"/>
        </w:rPr>
        <w:t>本合同价款为含税价，以人民币方式结算。</w:t>
      </w:r>
      <w:r>
        <w:rPr>
          <w:rFonts w:hint="eastAsia"/>
          <w:color w:val="auto"/>
          <w:sz w:val="28"/>
          <w:szCs w:val="28"/>
          <w:highlight w:val="none"/>
          <w:shd w:val="clear" w:color="auto" w:fill="FFFFFF"/>
        </w:rPr>
        <w:t>运营维护费用为</w:t>
      </w:r>
      <w:r>
        <w:rPr>
          <w:rFonts w:hint="eastAsia"/>
          <w:color w:val="auto"/>
          <w:sz w:val="28"/>
          <w:szCs w:val="28"/>
          <w:highlight w:val="none"/>
          <w:u w:val="single"/>
          <w:shd w:val="clear" w:color="auto" w:fill="FFFFFF"/>
          <w:lang w:val="en-US" w:eastAsia="zh-CN"/>
        </w:rPr>
        <w:t xml:space="preserve">      </w:t>
      </w:r>
      <w:r>
        <w:rPr>
          <w:rFonts w:hint="eastAsia"/>
          <w:color w:val="auto"/>
          <w:sz w:val="28"/>
          <w:szCs w:val="28"/>
          <w:highlight w:val="none"/>
          <w:shd w:val="clear" w:color="auto" w:fill="FFFFFF"/>
          <w:lang w:val="en-US" w:eastAsia="zh-CN"/>
        </w:rPr>
        <w:t>元整</w:t>
      </w:r>
      <w:r>
        <w:rPr>
          <w:rFonts w:hint="eastAsia"/>
          <w:color w:val="auto"/>
          <w:sz w:val="28"/>
          <w:szCs w:val="28"/>
          <w:highlight w:val="none"/>
          <w:shd w:val="clear" w:color="auto" w:fill="FFFFFF"/>
        </w:rPr>
        <w:t>(大写：</w:t>
      </w:r>
      <w:r>
        <w:rPr>
          <w:rFonts w:hint="eastAsia"/>
          <w:color w:val="auto"/>
          <w:sz w:val="28"/>
          <w:szCs w:val="28"/>
          <w:highlight w:val="none"/>
          <w:u w:val="single"/>
          <w:shd w:val="clear" w:color="auto" w:fill="FFFFFF"/>
          <w:lang w:val="en-US" w:eastAsia="zh-CN"/>
        </w:rPr>
        <w:t xml:space="preserve">            </w:t>
      </w:r>
      <w:r>
        <w:rPr>
          <w:rFonts w:hint="eastAsia"/>
          <w:color w:val="auto"/>
          <w:sz w:val="28"/>
          <w:szCs w:val="28"/>
          <w:highlight w:val="none"/>
          <w:shd w:val="clear" w:color="auto" w:fill="FFFFFF"/>
        </w:rPr>
        <w:t>)(维护期</w:t>
      </w:r>
      <w:r>
        <w:rPr>
          <w:rFonts w:hint="eastAsia"/>
          <w:color w:val="auto"/>
          <w:sz w:val="28"/>
          <w:szCs w:val="28"/>
          <w:highlight w:val="none"/>
          <w:u w:val="single"/>
          <w:shd w:val="clear" w:color="auto" w:fill="FFFFFF"/>
          <w:lang w:val="en-US" w:eastAsia="zh-CN"/>
        </w:rPr>
        <w:t xml:space="preserve">   </w:t>
      </w:r>
      <w:r>
        <w:rPr>
          <w:rFonts w:hint="eastAsia"/>
          <w:color w:val="auto"/>
          <w:sz w:val="28"/>
          <w:szCs w:val="28"/>
          <w:highlight w:val="none"/>
          <w:shd w:val="clear" w:color="auto" w:fill="FFFFFF"/>
        </w:rPr>
        <w:t>年)</w:t>
      </w:r>
      <w:r>
        <w:rPr>
          <w:rFonts w:hint="eastAsia"/>
          <w:color w:val="auto"/>
          <w:sz w:val="28"/>
          <w:szCs w:val="28"/>
          <w:highlight w:val="none"/>
          <w:shd w:val="clear" w:color="auto" w:fill="FFFFFF"/>
          <w:lang w:val="en-US" w:eastAsia="zh-CN"/>
        </w:rPr>
        <w:t>，含6%增值税发票</w:t>
      </w:r>
      <w:r>
        <w:rPr>
          <w:rFonts w:hint="eastAsia"/>
          <w:color w:val="auto"/>
          <w:sz w:val="28"/>
          <w:szCs w:val="28"/>
          <w:highlight w:val="none"/>
          <w:shd w:val="clear" w:color="auto" w:fill="FFFFFF"/>
          <w:lang w:eastAsia="zh-CN"/>
        </w:rPr>
        <w:t>；</w:t>
      </w:r>
    </w:p>
    <w:p w14:paraId="15EC6908">
      <w:pPr>
        <w:keepNext w:val="0"/>
        <w:keepLines w:val="0"/>
        <w:pageBreakBefore w:val="0"/>
        <w:kinsoku/>
        <w:wordWrap/>
        <w:overflowPunct/>
        <w:topLinePunct w:val="0"/>
        <w:autoSpaceDE/>
        <w:autoSpaceDN/>
        <w:bidi w:val="0"/>
        <w:adjustRightInd/>
        <w:snapToGrid/>
        <w:spacing w:line="540" w:lineRule="exact"/>
        <w:ind w:left="0" w:leftChars="0" w:right="0" w:firstLine="562" w:firstLineChars="200"/>
        <w:jc w:val="both"/>
        <w:textAlignment w:val="auto"/>
        <w:rPr>
          <w:b/>
          <w:bCs/>
          <w:color w:val="auto"/>
          <w:sz w:val="28"/>
          <w:szCs w:val="28"/>
          <w:shd w:val="clear" w:color="auto" w:fill="FFFFFF"/>
        </w:rPr>
      </w:pPr>
      <w:r>
        <w:rPr>
          <w:rFonts w:hint="eastAsia"/>
          <w:b/>
          <w:bCs/>
          <w:color w:val="auto"/>
          <w:sz w:val="28"/>
          <w:szCs w:val="28"/>
          <w:shd w:val="clear" w:color="auto" w:fill="FFFFFF"/>
        </w:rPr>
        <w:t>(二)</w:t>
      </w:r>
      <w:r>
        <w:rPr>
          <w:b/>
          <w:bCs/>
          <w:color w:val="auto"/>
          <w:sz w:val="28"/>
          <w:szCs w:val="28"/>
          <w:shd w:val="clear" w:color="auto" w:fill="FFFFFF"/>
        </w:rPr>
        <w:t xml:space="preserve"> </w:t>
      </w:r>
      <w:r>
        <w:rPr>
          <w:rFonts w:hint="eastAsia"/>
          <w:b/>
          <w:bCs/>
          <w:color w:val="auto"/>
          <w:sz w:val="28"/>
          <w:szCs w:val="28"/>
          <w:shd w:val="clear" w:color="auto" w:fill="FFFFFF"/>
        </w:rPr>
        <w:t>支付方式</w:t>
      </w:r>
    </w:p>
    <w:p w14:paraId="06CC92A6">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rFonts w:hint="default" w:ascii="Arial" w:hAnsi="Arial" w:eastAsia="宋体" w:cs="Arial"/>
          <w:color w:val="auto"/>
          <w:sz w:val="28"/>
          <w:szCs w:val="28"/>
          <w:highlight w:val="none"/>
          <w:shd w:val="clear" w:color="auto" w:fill="FFFFFF"/>
          <w:lang w:val="en-US" w:eastAsia="zh-CN"/>
        </w:rPr>
      </w:pPr>
      <w:r>
        <w:rPr>
          <w:rFonts w:hint="eastAsia" w:ascii="Arial" w:hAnsi="Arial" w:cs="Arial"/>
          <w:color w:val="auto"/>
          <w:sz w:val="28"/>
          <w:szCs w:val="28"/>
          <w:highlight w:val="none"/>
          <w:shd w:val="clear" w:color="auto" w:fill="FFFFFF"/>
          <w:lang w:val="en-US" w:eastAsia="zh-CN"/>
        </w:rPr>
        <w:t>甲方应在本合同生效</w:t>
      </w:r>
      <w:r>
        <w:rPr>
          <w:rFonts w:hint="eastAsia" w:ascii="Arial" w:hAnsi="Arial" w:cs="Arial"/>
          <w:strike w:val="0"/>
          <w:dstrike w:val="0"/>
          <w:color w:val="auto"/>
          <w:sz w:val="28"/>
          <w:szCs w:val="28"/>
          <w:highlight w:val="none"/>
          <w:shd w:val="clear" w:color="auto" w:fill="FFFFFF"/>
          <w:lang w:val="en-US" w:eastAsia="zh-CN"/>
        </w:rPr>
        <w:t>并收到乙方向甲方开具合同总价的财务收据和税率为6%的增值税专用发票</w:t>
      </w:r>
      <w:r>
        <w:rPr>
          <w:rFonts w:hint="eastAsia"/>
          <w:bCs/>
          <w:color w:val="auto"/>
          <w:sz w:val="28"/>
          <w:szCs w:val="28"/>
          <w:highlight w:val="none"/>
          <w:shd w:val="clear" w:color="auto" w:fill="FFFFFF"/>
        </w:rPr>
        <w:t>之</w:t>
      </w:r>
      <w:r>
        <w:rPr>
          <w:rFonts w:hint="eastAsia"/>
          <w:color w:val="auto"/>
          <w:sz w:val="28"/>
          <w:szCs w:val="28"/>
          <w:highlight w:val="none"/>
          <w:shd w:val="clear" w:color="auto" w:fill="FFFFFF"/>
          <w:lang w:val="en-US" w:eastAsia="zh-CN"/>
        </w:rPr>
        <w:t>日起</w:t>
      </w:r>
      <w:r>
        <w:rPr>
          <w:rFonts w:hint="eastAsia" w:ascii="Arial" w:hAnsi="Arial" w:cs="Arial"/>
          <w:strike w:val="0"/>
          <w:dstrike w:val="0"/>
          <w:color w:val="auto"/>
          <w:sz w:val="28"/>
          <w:szCs w:val="28"/>
          <w:highlight w:val="none"/>
          <w:shd w:val="clear" w:color="auto" w:fill="FFFFFF"/>
          <w:lang w:val="en-US" w:eastAsia="zh-CN"/>
        </w:rPr>
        <w:t xml:space="preserve">三个月内支付 </w:t>
      </w:r>
      <w:r>
        <w:rPr>
          <w:rFonts w:hint="eastAsia" w:ascii="Arial" w:hAnsi="Arial" w:cs="Arial"/>
          <w:strike w:val="0"/>
          <w:dstrike w:val="0"/>
          <w:color w:val="auto"/>
          <w:sz w:val="28"/>
          <w:szCs w:val="28"/>
          <w:highlight w:val="none"/>
          <w:u w:val="single"/>
          <w:shd w:val="clear" w:color="auto" w:fill="FFFFFF"/>
          <w:lang w:val="en-US" w:eastAsia="zh-CN"/>
        </w:rPr>
        <w:t xml:space="preserve">     </w:t>
      </w:r>
      <w:r>
        <w:rPr>
          <w:rFonts w:hint="eastAsia" w:ascii="Arial" w:hAnsi="Arial" w:cs="Arial"/>
          <w:strike w:val="0"/>
          <w:dstrike w:val="0"/>
          <w:color w:val="auto"/>
          <w:sz w:val="28"/>
          <w:szCs w:val="28"/>
          <w:highlight w:val="none"/>
          <w:shd w:val="clear" w:color="auto" w:fill="FFFFFF"/>
          <w:lang w:val="en-US" w:eastAsia="zh-CN"/>
        </w:rPr>
        <w:t>%， 共计</w:t>
      </w:r>
      <w:r>
        <w:rPr>
          <w:rFonts w:hint="eastAsia" w:ascii="Arial" w:hAnsi="Arial" w:cs="Arial"/>
          <w:strike w:val="0"/>
          <w:dstrike w:val="0"/>
          <w:color w:val="auto"/>
          <w:sz w:val="28"/>
          <w:szCs w:val="28"/>
          <w:highlight w:val="none"/>
          <w:u w:val="single"/>
          <w:shd w:val="clear" w:color="auto" w:fill="FFFFFF"/>
          <w:lang w:val="en-US" w:eastAsia="zh-CN"/>
        </w:rPr>
        <w:t xml:space="preserve">       </w:t>
      </w:r>
      <w:r>
        <w:rPr>
          <w:rFonts w:hint="eastAsia" w:ascii="Arial" w:hAnsi="Arial" w:cs="Arial"/>
          <w:strike w:val="0"/>
          <w:dstrike w:val="0"/>
          <w:color w:val="auto"/>
          <w:sz w:val="28"/>
          <w:szCs w:val="28"/>
          <w:highlight w:val="none"/>
          <w:shd w:val="clear" w:color="auto" w:fill="FFFFFF"/>
          <w:lang w:val="en-US" w:eastAsia="zh-CN"/>
        </w:rPr>
        <w:t>元（大写：</w:t>
      </w:r>
      <w:r>
        <w:rPr>
          <w:rFonts w:hint="eastAsia" w:ascii="Arial" w:hAnsi="Arial" w:cs="Arial"/>
          <w:strike w:val="0"/>
          <w:dstrike w:val="0"/>
          <w:color w:val="auto"/>
          <w:sz w:val="28"/>
          <w:szCs w:val="28"/>
          <w:highlight w:val="none"/>
          <w:u w:val="single"/>
          <w:shd w:val="clear" w:color="auto" w:fill="FFFFFF"/>
          <w:lang w:val="en-US" w:eastAsia="zh-CN"/>
        </w:rPr>
        <w:t xml:space="preserve">           </w:t>
      </w:r>
      <w:r>
        <w:rPr>
          <w:rFonts w:hint="eastAsia" w:ascii="Arial" w:hAnsi="Arial" w:cs="Arial"/>
          <w:strike w:val="0"/>
          <w:dstrike w:val="0"/>
          <w:color w:val="auto"/>
          <w:sz w:val="28"/>
          <w:szCs w:val="28"/>
          <w:highlight w:val="none"/>
          <w:shd w:val="clear" w:color="auto" w:fill="FFFFFF"/>
          <w:lang w:val="en-US" w:eastAsia="zh-CN"/>
        </w:rPr>
        <w:t>）。</w:t>
      </w:r>
    </w:p>
    <w:p w14:paraId="23955EEF">
      <w:pPr>
        <w:keepNext w:val="0"/>
        <w:keepLines w:val="0"/>
        <w:pageBreakBefore w:val="0"/>
        <w:kinsoku/>
        <w:wordWrap/>
        <w:overflowPunct/>
        <w:topLinePunct w:val="0"/>
        <w:autoSpaceDE/>
        <w:autoSpaceDN/>
        <w:bidi w:val="0"/>
        <w:adjustRightInd/>
        <w:snapToGrid/>
        <w:spacing w:line="540" w:lineRule="exact"/>
        <w:ind w:left="0" w:leftChars="0" w:right="0" w:firstLine="560" w:firstLineChars="200"/>
        <w:textAlignment w:val="auto"/>
        <w:rPr>
          <w:rFonts w:hint="eastAsia" w:eastAsia="宋体"/>
          <w:color w:val="auto"/>
          <w:sz w:val="28"/>
          <w:szCs w:val="28"/>
          <w:shd w:val="clear" w:color="auto" w:fill="FFFFFF"/>
          <w:lang w:eastAsia="zh-CN"/>
        </w:rPr>
      </w:pPr>
      <w:r>
        <w:rPr>
          <w:rFonts w:hint="eastAsia"/>
          <w:color w:val="auto"/>
          <w:sz w:val="28"/>
          <w:szCs w:val="28"/>
          <w:shd w:val="clear" w:color="auto" w:fill="FFFFFF"/>
        </w:rPr>
        <w:t>乙方户名：</w:t>
      </w:r>
      <w:r>
        <w:rPr>
          <w:rFonts w:hint="eastAsia"/>
          <w:color w:val="auto"/>
          <w:sz w:val="28"/>
          <w:szCs w:val="28"/>
          <w:u w:val="single"/>
          <w:shd w:val="clear" w:color="auto" w:fill="FFFFFF"/>
          <w:lang w:val="en-US" w:eastAsia="zh-CN"/>
        </w:rPr>
        <w:t xml:space="preserve"> </w:t>
      </w:r>
    </w:p>
    <w:p w14:paraId="16D25EAA">
      <w:pPr>
        <w:keepNext w:val="0"/>
        <w:keepLines w:val="0"/>
        <w:pageBreakBefore w:val="0"/>
        <w:kinsoku/>
        <w:wordWrap/>
        <w:overflowPunct/>
        <w:topLinePunct w:val="0"/>
        <w:autoSpaceDE/>
        <w:autoSpaceDN/>
        <w:bidi w:val="0"/>
        <w:adjustRightInd/>
        <w:snapToGrid/>
        <w:spacing w:line="540" w:lineRule="exact"/>
        <w:ind w:left="0" w:leftChars="0" w:right="0" w:firstLine="560" w:firstLineChars="200"/>
        <w:textAlignment w:val="auto"/>
        <w:rPr>
          <w:rFonts w:hint="default"/>
          <w:color w:val="auto"/>
          <w:sz w:val="28"/>
          <w:szCs w:val="28"/>
          <w:u w:val="single"/>
          <w:shd w:val="clear" w:color="auto" w:fill="FFFFFF"/>
          <w:lang w:val="en-US" w:eastAsia="zh-CN"/>
        </w:rPr>
      </w:pPr>
      <w:r>
        <w:rPr>
          <w:rFonts w:hint="eastAsia"/>
          <w:color w:val="auto"/>
          <w:sz w:val="28"/>
          <w:szCs w:val="28"/>
          <w:shd w:val="clear" w:color="auto" w:fill="FFFFFF"/>
        </w:rPr>
        <w:t xml:space="preserve">账 </w:t>
      </w:r>
      <w:r>
        <w:rPr>
          <w:color w:val="auto"/>
          <w:sz w:val="28"/>
          <w:szCs w:val="28"/>
          <w:shd w:val="clear" w:color="auto" w:fill="FFFFFF"/>
        </w:rPr>
        <w:t xml:space="preserve">   </w:t>
      </w:r>
      <w:r>
        <w:rPr>
          <w:rFonts w:hint="eastAsia"/>
          <w:color w:val="auto"/>
          <w:sz w:val="28"/>
          <w:szCs w:val="28"/>
          <w:shd w:val="clear" w:color="auto" w:fill="FFFFFF"/>
        </w:rPr>
        <w:t>号：</w:t>
      </w:r>
      <w:r>
        <w:rPr>
          <w:rFonts w:hint="eastAsia"/>
          <w:color w:val="auto"/>
          <w:sz w:val="28"/>
          <w:szCs w:val="28"/>
          <w:u w:val="single"/>
          <w:shd w:val="clear" w:color="auto" w:fill="FFFFFF"/>
          <w:lang w:val="en-US" w:eastAsia="zh-CN"/>
        </w:rPr>
        <w:t xml:space="preserve">  </w:t>
      </w:r>
    </w:p>
    <w:p w14:paraId="0C916B59">
      <w:pPr>
        <w:keepNext w:val="0"/>
        <w:keepLines w:val="0"/>
        <w:pageBreakBefore w:val="0"/>
        <w:kinsoku/>
        <w:wordWrap/>
        <w:overflowPunct/>
        <w:topLinePunct w:val="0"/>
        <w:autoSpaceDE/>
        <w:autoSpaceDN/>
        <w:bidi w:val="0"/>
        <w:adjustRightInd/>
        <w:snapToGrid/>
        <w:spacing w:line="540" w:lineRule="exact"/>
        <w:ind w:left="0" w:leftChars="0" w:right="0" w:firstLine="560" w:firstLineChars="200"/>
        <w:textAlignment w:val="auto"/>
        <w:rPr>
          <w:rFonts w:hint="eastAsia"/>
          <w:color w:val="auto"/>
          <w:sz w:val="28"/>
          <w:szCs w:val="28"/>
          <w:u w:val="single"/>
          <w:shd w:val="clear" w:color="auto" w:fill="FFFFFF"/>
          <w:lang w:eastAsia="zh-CN"/>
        </w:rPr>
      </w:pPr>
      <w:r>
        <w:rPr>
          <w:rFonts w:hint="eastAsia"/>
          <w:color w:val="auto"/>
          <w:sz w:val="28"/>
          <w:szCs w:val="28"/>
          <w:shd w:val="clear" w:color="auto" w:fill="FFFFFF"/>
        </w:rPr>
        <w:t>开 户 行：</w:t>
      </w:r>
      <w:r>
        <w:rPr>
          <w:rFonts w:hint="eastAsia"/>
          <w:color w:val="auto"/>
          <w:sz w:val="28"/>
          <w:szCs w:val="28"/>
          <w:u w:val="single"/>
          <w:shd w:val="clear" w:color="auto" w:fill="FFFFFF"/>
          <w:lang w:val="en-US" w:eastAsia="zh-CN"/>
        </w:rPr>
        <w:t xml:space="preserve"> </w:t>
      </w:r>
    </w:p>
    <w:p w14:paraId="5EE9CB7E">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2" w:firstLineChars="200"/>
        <w:textAlignment w:val="auto"/>
        <w:rPr>
          <w:bCs/>
          <w:color w:val="auto"/>
          <w:sz w:val="28"/>
          <w:szCs w:val="28"/>
          <w:shd w:val="clear" w:color="auto" w:fill="FFFFFF"/>
        </w:rPr>
      </w:pPr>
      <w:r>
        <w:rPr>
          <w:rFonts w:hint="eastAsia"/>
          <w:b/>
          <w:bCs/>
          <w:color w:val="auto"/>
          <w:sz w:val="28"/>
          <w:szCs w:val="28"/>
          <w:shd w:val="clear" w:color="auto" w:fill="FFFFFF"/>
          <w:lang w:val="en-US" w:eastAsia="zh-CN"/>
        </w:rPr>
        <w:t xml:space="preserve">第四条  </w:t>
      </w:r>
      <w:r>
        <w:rPr>
          <w:rFonts w:hint="eastAsia"/>
          <w:b/>
          <w:bCs/>
          <w:color w:val="auto"/>
          <w:sz w:val="28"/>
          <w:szCs w:val="28"/>
          <w:shd w:val="clear" w:color="auto" w:fill="FFFFFF"/>
        </w:rPr>
        <w:t>乙方义务</w:t>
      </w:r>
    </w:p>
    <w:p w14:paraId="27F9A089">
      <w:pPr>
        <w:pStyle w:val="51"/>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color w:val="auto"/>
          <w:sz w:val="28"/>
          <w:szCs w:val="28"/>
        </w:rPr>
      </w:pPr>
      <w:r>
        <w:rPr>
          <w:rFonts w:hint="default" w:ascii="宋体" w:hAnsi="宋体" w:eastAsia="宋体" w:cs="宋体"/>
          <w:color w:val="auto"/>
          <w:sz w:val="28"/>
          <w:szCs w:val="28"/>
          <w:lang w:val="en-US" w:eastAsia="zh-CN" w:bidi="ar-SA"/>
        </w:rPr>
        <w:t>（一）</w:t>
      </w:r>
      <w:r>
        <w:rPr>
          <w:rFonts w:hint="eastAsia"/>
          <w:color w:val="auto"/>
          <w:sz w:val="28"/>
          <w:szCs w:val="28"/>
        </w:rPr>
        <w:t xml:space="preserve"> 乙方应保证服务质量并配合甲方对运营维护服务情况进行检</w:t>
      </w:r>
    </w:p>
    <w:p w14:paraId="2C39610E">
      <w:pPr>
        <w:pStyle w:val="51"/>
        <w:keepNext w:val="0"/>
        <w:keepLines w:val="0"/>
        <w:pageBreakBefore w:val="0"/>
        <w:widowControl/>
        <w:numPr>
          <w:ilvl w:val="0"/>
          <w:numId w:val="0"/>
        </w:numPr>
        <w:kinsoku/>
        <w:wordWrap/>
        <w:overflowPunct/>
        <w:topLinePunct w:val="0"/>
        <w:autoSpaceDE/>
        <w:autoSpaceDN/>
        <w:bidi w:val="0"/>
        <w:adjustRightInd/>
        <w:snapToGrid/>
        <w:spacing w:line="540" w:lineRule="exact"/>
        <w:ind w:right="0"/>
        <w:textAlignment w:val="auto"/>
        <w:rPr>
          <w:rFonts w:hint="eastAsia"/>
          <w:color w:val="auto"/>
          <w:sz w:val="30"/>
          <w:szCs w:val="30"/>
          <w:lang w:eastAsia="zh-CN"/>
        </w:rPr>
      </w:pPr>
      <w:r>
        <w:rPr>
          <w:rFonts w:hint="eastAsia"/>
          <w:color w:val="auto"/>
          <w:sz w:val="28"/>
          <w:szCs w:val="28"/>
        </w:rPr>
        <w:t>查</w:t>
      </w:r>
      <w:r>
        <w:rPr>
          <w:rFonts w:hint="eastAsia"/>
          <w:color w:val="auto"/>
          <w:sz w:val="28"/>
          <w:szCs w:val="28"/>
          <w:lang w:eastAsia="zh-CN"/>
        </w:rPr>
        <w:t>。</w:t>
      </w:r>
    </w:p>
    <w:p w14:paraId="7D36C544">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color w:val="auto"/>
          <w:sz w:val="28"/>
          <w:szCs w:val="28"/>
          <w:highlight w:val="none"/>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rFonts w:hint="eastAsia"/>
          <w:color w:val="auto"/>
          <w:sz w:val="28"/>
          <w:szCs w:val="28"/>
        </w:rPr>
        <w:t xml:space="preserve"> 乙方为甲方提供系统硬件维护与保</w:t>
      </w:r>
      <w:r>
        <w:rPr>
          <w:rFonts w:hint="eastAsia"/>
          <w:color w:val="auto"/>
          <w:sz w:val="28"/>
          <w:szCs w:val="28"/>
          <w:highlight w:val="none"/>
        </w:rPr>
        <w:t>养、硬件维修、抢修以及</w:t>
      </w:r>
    </w:p>
    <w:p w14:paraId="01ADD401">
      <w:pPr>
        <w:pStyle w:val="51"/>
        <w:keepNext w:val="0"/>
        <w:keepLines w:val="0"/>
        <w:pageBreakBefore w:val="0"/>
        <w:numPr>
          <w:ilvl w:val="0"/>
          <w:numId w:val="0"/>
        </w:numPr>
        <w:kinsoku/>
        <w:wordWrap/>
        <w:overflowPunct/>
        <w:topLinePunct w:val="0"/>
        <w:autoSpaceDE/>
        <w:autoSpaceDN/>
        <w:bidi w:val="0"/>
        <w:adjustRightInd/>
        <w:snapToGrid/>
        <w:spacing w:line="540" w:lineRule="exact"/>
        <w:ind w:right="0"/>
        <w:textAlignment w:val="auto"/>
        <w:rPr>
          <w:rFonts w:hint="eastAsia"/>
          <w:color w:val="auto"/>
          <w:sz w:val="28"/>
          <w:szCs w:val="28"/>
          <w:highlight w:val="none"/>
          <w:lang w:eastAsia="zh-CN"/>
        </w:rPr>
      </w:pPr>
      <w:r>
        <w:rPr>
          <w:rFonts w:hint="eastAsia"/>
          <w:color w:val="auto"/>
          <w:sz w:val="28"/>
          <w:szCs w:val="28"/>
          <w:highlight w:val="none"/>
        </w:rPr>
        <w:t>设备校验服务</w:t>
      </w:r>
      <w:r>
        <w:rPr>
          <w:rFonts w:hint="eastAsia"/>
          <w:color w:val="auto"/>
          <w:sz w:val="28"/>
          <w:szCs w:val="28"/>
          <w:highlight w:val="none"/>
          <w:lang w:eastAsia="zh-CN"/>
        </w:rPr>
        <w:t>。</w:t>
      </w:r>
    </w:p>
    <w:p w14:paraId="1FA4A1FA">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color w:val="auto"/>
          <w:sz w:val="28"/>
          <w:szCs w:val="28"/>
          <w:highlight w:val="none"/>
        </w:rPr>
      </w:pPr>
      <w:r>
        <w:rPr>
          <w:rFonts w:hint="eastAsia"/>
          <w:color w:val="auto"/>
          <w:sz w:val="28"/>
          <w:szCs w:val="28"/>
          <w:highlight w:val="none"/>
          <w:lang w:val="en-US" w:eastAsia="zh-CN"/>
        </w:rPr>
        <w:t>（三）运营维护过程中如需更换设备，</w:t>
      </w:r>
      <w:r>
        <w:rPr>
          <w:rFonts w:hint="eastAsia"/>
          <w:color w:val="auto"/>
          <w:sz w:val="28"/>
          <w:szCs w:val="28"/>
          <w:highlight w:val="none"/>
          <w:shd w:val="clear" w:color="auto" w:fill="FFFFFF"/>
        </w:rPr>
        <w:t>因设备自身质量问题导致设备损坏的，乙方免费维修或更换设备；</w:t>
      </w:r>
      <w:r>
        <w:rPr>
          <w:rFonts w:hint="eastAsia"/>
          <w:color w:val="auto"/>
          <w:sz w:val="28"/>
          <w:szCs w:val="28"/>
          <w:highlight w:val="none"/>
          <w:shd w:val="clear" w:color="auto" w:fill="FFFFFF"/>
          <w:lang w:val="en-US" w:eastAsia="zh-CN"/>
        </w:rPr>
        <w:t>如因天灾或甲方人为因素</w:t>
      </w:r>
      <w:r>
        <w:rPr>
          <w:rFonts w:hint="eastAsia"/>
          <w:color w:val="auto"/>
          <w:sz w:val="28"/>
          <w:szCs w:val="28"/>
          <w:highlight w:val="none"/>
          <w:shd w:val="clear" w:color="auto" w:fill="FFFFFF"/>
        </w:rPr>
        <w:t>导致损坏的，乙方负责免费维修，需更换设备的费用由甲方承担</w:t>
      </w:r>
      <w:r>
        <w:rPr>
          <w:rFonts w:hint="eastAsia"/>
          <w:color w:val="auto"/>
          <w:sz w:val="28"/>
          <w:szCs w:val="28"/>
          <w:highlight w:val="none"/>
          <w:lang w:val="en-US" w:eastAsia="zh-CN"/>
        </w:rPr>
        <w:t>。</w:t>
      </w:r>
    </w:p>
    <w:p w14:paraId="7BAE797B">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color w:val="auto"/>
          <w:sz w:val="28"/>
          <w:szCs w:val="28"/>
        </w:rPr>
      </w:pPr>
      <w:r>
        <w:rPr>
          <w:rFonts w:hint="eastAsia"/>
          <w:color w:val="auto"/>
          <w:sz w:val="28"/>
          <w:szCs w:val="28"/>
          <w:lang w:eastAsia="zh-CN"/>
        </w:rPr>
        <w:t>（</w:t>
      </w:r>
      <w:r>
        <w:rPr>
          <w:rFonts w:hint="eastAsia"/>
          <w:color w:val="auto"/>
          <w:sz w:val="28"/>
          <w:szCs w:val="28"/>
          <w:lang w:val="en-US" w:eastAsia="zh-CN"/>
        </w:rPr>
        <w:t>四</w:t>
      </w:r>
      <w:r>
        <w:rPr>
          <w:rFonts w:hint="eastAsia"/>
          <w:color w:val="auto"/>
          <w:sz w:val="28"/>
          <w:szCs w:val="28"/>
          <w:lang w:eastAsia="zh-CN"/>
        </w:rPr>
        <w:t>）</w:t>
      </w:r>
      <w:r>
        <w:rPr>
          <w:rFonts w:hint="eastAsia"/>
          <w:color w:val="auto"/>
          <w:sz w:val="28"/>
          <w:szCs w:val="28"/>
        </w:rPr>
        <w:t>乙方为甲方建立运营维护档案管理；</w:t>
      </w:r>
    </w:p>
    <w:p w14:paraId="1925916F">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color w:val="auto"/>
          <w:sz w:val="28"/>
          <w:szCs w:val="28"/>
        </w:rPr>
      </w:pPr>
      <w:r>
        <w:rPr>
          <w:rFonts w:hint="eastAsia"/>
          <w:color w:val="auto"/>
          <w:sz w:val="28"/>
          <w:szCs w:val="28"/>
          <w:lang w:eastAsia="zh-CN"/>
        </w:rPr>
        <w:t>（</w:t>
      </w:r>
      <w:r>
        <w:rPr>
          <w:rFonts w:hint="eastAsia"/>
          <w:color w:val="auto"/>
          <w:sz w:val="28"/>
          <w:szCs w:val="28"/>
          <w:lang w:val="en-US" w:eastAsia="zh-CN"/>
        </w:rPr>
        <w:t>五</w:t>
      </w:r>
      <w:r>
        <w:rPr>
          <w:rFonts w:hint="eastAsia"/>
          <w:color w:val="auto"/>
          <w:sz w:val="28"/>
          <w:szCs w:val="28"/>
          <w:lang w:eastAsia="zh-CN"/>
        </w:rPr>
        <w:t>）</w:t>
      </w:r>
      <w:r>
        <w:rPr>
          <w:rFonts w:hint="eastAsia"/>
          <w:color w:val="auto"/>
          <w:sz w:val="28"/>
          <w:szCs w:val="28"/>
        </w:rPr>
        <w:t>乙方为甲方提供硬软件运营维护咨询及甲方系统操作新员工</w:t>
      </w:r>
    </w:p>
    <w:p w14:paraId="4555B53A">
      <w:pPr>
        <w:pStyle w:val="51"/>
        <w:keepNext w:val="0"/>
        <w:keepLines w:val="0"/>
        <w:pageBreakBefore w:val="0"/>
        <w:numPr>
          <w:ilvl w:val="0"/>
          <w:numId w:val="0"/>
        </w:numPr>
        <w:kinsoku/>
        <w:wordWrap/>
        <w:overflowPunct/>
        <w:topLinePunct w:val="0"/>
        <w:autoSpaceDE/>
        <w:autoSpaceDN/>
        <w:bidi w:val="0"/>
        <w:adjustRightInd/>
        <w:snapToGrid/>
        <w:spacing w:line="540" w:lineRule="exact"/>
        <w:ind w:right="0"/>
        <w:textAlignment w:val="auto"/>
        <w:rPr>
          <w:color w:val="auto"/>
          <w:sz w:val="28"/>
          <w:szCs w:val="28"/>
        </w:rPr>
      </w:pPr>
      <w:r>
        <w:rPr>
          <w:rFonts w:hint="eastAsia"/>
          <w:color w:val="auto"/>
          <w:sz w:val="28"/>
          <w:szCs w:val="28"/>
        </w:rPr>
        <w:t>的培训服务。</w:t>
      </w:r>
    </w:p>
    <w:p w14:paraId="4C719080">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2" w:firstLineChars="200"/>
        <w:textAlignment w:val="auto"/>
        <w:rPr>
          <w:b/>
          <w:bCs/>
          <w:color w:val="auto"/>
          <w:sz w:val="28"/>
          <w:szCs w:val="28"/>
          <w:shd w:val="clear" w:color="auto" w:fill="FFFFFF"/>
        </w:rPr>
      </w:pPr>
      <w:r>
        <w:rPr>
          <w:rFonts w:hint="eastAsia"/>
          <w:b/>
          <w:bCs/>
          <w:color w:val="auto"/>
          <w:sz w:val="28"/>
          <w:szCs w:val="28"/>
          <w:shd w:val="clear" w:color="auto" w:fill="FFFFFF"/>
          <w:lang w:val="en-US" w:eastAsia="zh-CN"/>
        </w:rPr>
        <w:t xml:space="preserve">第五条  </w:t>
      </w:r>
      <w:r>
        <w:rPr>
          <w:rFonts w:hint="eastAsia"/>
          <w:b/>
          <w:bCs/>
          <w:color w:val="auto"/>
          <w:sz w:val="28"/>
          <w:szCs w:val="28"/>
          <w:shd w:val="clear" w:color="auto" w:fill="FFFFFF"/>
        </w:rPr>
        <w:t>甲方义务</w:t>
      </w:r>
    </w:p>
    <w:p w14:paraId="497084BB">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rFonts w:hint="eastAsia"/>
          <w:bCs/>
          <w:color w:val="auto"/>
          <w:sz w:val="28"/>
          <w:szCs w:val="28"/>
          <w:shd w:val="clear" w:color="auto" w:fill="FFFFFF"/>
        </w:rPr>
      </w:pPr>
      <w:r>
        <w:rPr>
          <w:rFonts w:hint="eastAsia"/>
          <w:color w:val="auto"/>
          <w:sz w:val="28"/>
          <w:szCs w:val="28"/>
          <w:lang w:eastAsia="zh-CN"/>
        </w:rPr>
        <w:t>（</w:t>
      </w:r>
      <w:r>
        <w:rPr>
          <w:rFonts w:hint="eastAsia"/>
          <w:color w:val="auto"/>
          <w:sz w:val="28"/>
          <w:szCs w:val="28"/>
          <w:lang w:val="en-US" w:eastAsia="zh-CN"/>
        </w:rPr>
        <w:t>一</w:t>
      </w:r>
      <w:r>
        <w:rPr>
          <w:rFonts w:hint="eastAsia"/>
          <w:color w:val="auto"/>
          <w:sz w:val="28"/>
          <w:szCs w:val="28"/>
          <w:lang w:eastAsia="zh-CN"/>
        </w:rPr>
        <w:t>）</w:t>
      </w:r>
      <w:r>
        <w:rPr>
          <w:rFonts w:hint="eastAsia"/>
          <w:color w:val="auto"/>
          <w:sz w:val="28"/>
          <w:szCs w:val="28"/>
        </w:rPr>
        <w:t xml:space="preserve"> 甲方应当积极、主动地配合乙方工作，做好</w:t>
      </w:r>
      <w:r>
        <w:rPr>
          <w:rFonts w:hint="eastAsia"/>
          <w:bCs/>
          <w:color w:val="auto"/>
          <w:sz w:val="28"/>
          <w:szCs w:val="28"/>
          <w:shd w:val="clear" w:color="auto" w:fill="FFFFFF"/>
          <w:lang w:eastAsia="zh-CN"/>
        </w:rPr>
        <w:t>危险</w:t>
      </w:r>
      <w:r>
        <w:rPr>
          <w:rFonts w:hint="eastAsia"/>
          <w:bCs/>
          <w:color w:val="auto"/>
          <w:sz w:val="28"/>
          <w:szCs w:val="28"/>
          <w:shd w:val="clear" w:color="auto" w:fill="FFFFFF"/>
        </w:rPr>
        <w:t>废物污染防</w:t>
      </w:r>
    </w:p>
    <w:p w14:paraId="4FD45003">
      <w:pPr>
        <w:pStyle w:val="51"/>
        <w:keepNext w:val="0"/>
        <w:keepLines w:val="0"/>
        <w:pageBreakBefore w:val="0"/>
        <w:numPr>
          <w:ilvl w:val="0"/>
          <w:numId w:val="0"/>
        </w:numPr>
        <w:kinsoku/>
        <w:wordWrap/>
        <w:overflowPunct/>
        <w:topLinePunct w:val="0"/>
        <w:autoSpaceDE/>
        <w:autoSpaceDN/>
        <w:bidi w:val="0"/>
        <w:adjustRightInd/>
        <w:snapToGrid/>
        <w:spacing w:line="540" w:lineRule="exact"/>
        <w:ind w:right="0"/>
        <w:textAlignment w:val="auto"/>
        <w:rPr>
          <w:color w:val="auto"/>
          <w:sz w:val="28"/>
          <w:szCs w:val="28"/>
        </w:rPr>
      </w:pPr>
      <w:r>
        <w:rPr>
          <w:rFonts w:hint="eastAsia"/>
          <w:bCs/>
          <w:color w:val="auto"/>
          <w:sz w:val="28"/>
          <w:szCs w:val="28"/>
          <w:shd w:val="clear" w:color="auto" w:fill="FFFFFF"/>
        </w:rPr>
        <w:t>治物联网监管系统</w:t>
      </w:r>
      <w:r>
        <w:rPr>
          <w:rFonts w:hint="eastAsia"/>
          <w:color w:val="auto"/>
          <w:sz w:val="28"/>
          <w:szCs w:val="28"/>
        </w:rPr>
        <w:t>托管运营的宣教工作，为乙方进出工厂提供方便；</w:t>
      </w:r>
    </w:p>
    <w:p w14:paraId="35D346E7">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rFonts w:hint="eastAsia"/>
          <w:color w:val="auto"/>
          <w:sz w:val="28"/>
          <w:szCs w:val="28"/>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rFonts w:hint="eastAsia"/>
          <w:color w:val="auto"/>
          <w:sz w:val="28"/>
          <w:szCs w:val="28"/>
        </w:rPr>
        <w:t xml:space="preserve"> 甲方为</w:t>
      </w:r>
      <w:r>
        <w:rPr>
          <w:rFonts w:hint="eastAsia"/>
          <w:bCs/>
          <w:color w:val="auto"/>
          <w:sz w:val="28"/>
          <w:szCs w:val="28"/>
          <w:shd w:val="clear" w:color="auto" w:fill="FFFFFF"/>
          <w:lang w:eastAsia="zh-CN"/>
        </w:rPr>
        <w:t>危险</w:t>
      </w:r>
      <w:r>
        <w:rPr>
          <w:rFonts w:hint="eastAsia"/>
          <w:bCs/>
          <w:color w:val="auto"/>
          <w:sz w:val="28"/>
          <w:szCs w:val="28"/>
          <w:shd w:val="clear" w:color="auto" w:fill="FFFFFF"/>
        </w:rPr>
        <w:t>废物污染防治物联网监管系统</w:t>
      </w:r>
      <w:r>
        <w:rPr>
          <w:rFonts w:hint="eastAsia"/>
          <w:color w:val="auto"/>
          <w:sz w:val="28"/>
          <w:szCs w:val="28"/>
        </w:rPr>
        <w:t>的用电用网提供保</w:t>
      </w:r>
    </w:p>
    <w:p w14:paraId="08DD8A85">
      <w:pPr>
        <w:pStyle w:val="51"/>
        <w:keepNext w:val="0"/>
        <w:keepLines w:val="0"/>
        <w:pageBreakBefore w:val="0"/>
        <w:numPr>
          <w:ilvl w:val="0"/>
          <w:numId w:val="0"/>
        </w:numPr>
        <w:kinsoku/>
        <w:wordWrap/>
        <w:overflowPunct/>
        <w:topLinePunct w:val="0"/>
        <w:autoSpaceDE/>
        <w:autoSpaceDN/>
        <w:bidi w:val="0"/>
        <w:adjustRightInd/>
        <w:snapToGrid/>
        <w:spacing w:line="540" w:lineRule="exact"/>
        <w:ind w:right="0"/>
        <w:textAlignment w:val="auto"/>
        <w:rPr>
          <w:color w:val="auto"/>
          <w:sz w:val="28"/>
          <w:szCs w:val="28"/>
        </w:rPr>
      </w:pPr>
      <w:r>
        <w:rPr>
          <w:rFonts w:hint="eastAsia"/>
          <w:color w:val="auto"/>
          <w:sz w:val="28"/>
          <w:szCs w:val="28"/>
        </w:rPr>
        <w:t>障，保证系统正常运行；如若</w:t>
      </w:r>
      <w:r>
        <w:rPr>
          <w:rFonts w:hint="eastAsia"/>
          <w:color w:val="auto"/>
          <w:sz w:val="28"/>
          <w:szCs w:val="28"/>
          <w:lang w:eastAsia="zh-CN"/>
        </w:rPr>
        <w:t>停</w:t>
      </w:r>
      <w:r>
        <w:rPr>
          <w:rFonts w:hint="eastAsia"/>
          <w:color w:val="auto"/>
          <w:sz w:val="28"/>
          <w:szCs w:val="28"/>
        </w:rPr>
        <w:t>电，请提前通知乙方，以便采取应急措施。</w:t>
      </w:r>
    </w:p>
    <w:p w14:paraId="2BE03856">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rFonts w:hint="eastAsia"/>
          <w:color w:val="auto"/>
          <w:sz w:val="28"/>
          <w:szCs w:val="28"/>
        </w:rPr>
      </w:pPr>
      <w:r>
        <w:rPr>
          <w:rFonts w:hint="eastAsia"/>
          <w:color w:val="auto"/>
          <w:sz w:val="28"/>
          <w:szCs w:val="28"/>
          <w:lang w:eastAsia="zh-CN"/>
        </w:rPr>
        <w:t>（</w:t>
      </w:r>
      <w:r>
        <w:rPr>
          <w:rFonts w:hint="eastAsia"/>
          <w:color w:val="auto"/>
          <w:sz w:val="28"/>
          <w:szCs w:val="28"/>
          <w:lang w:val="en-US" w:eastAsia="zh-CN"/>
        </w:rPr>
        <w:t>三</w:t>
      </w:r>
      <w:r>
        <w:rPr>
          <w:rFonts w:hint="eastAsia"/>
          <w:color w:val="auto"/>
          <w:sz w:val="28"/>
          <w:szCs w:val="28"/>
          <w:lang w:eastAsia="zh-CN"/>
        </w:rPr>
        <w:t>）</w:t>
      </w:r>
      <w:r>
        <w:rPr>
          <w:rFonts w:hint="eastAsia"/>
          <w:color w:val="auto"/>
          <w:sz w:val="28"/>
          <w:szCs w:val="28"/>
        </w:rPr>
        <w:t xml:space="preserve"> 甲方对乙方提出的要求应当明确、合理、合法，不得要求乙</w:t>
      </w:r>
    </w:p>
    <w:p w14:paraId="267EF5D8">
      <w:pPr>
        <w:pStyle w:val="51"/>
        <w:keepNext w:val="0"/>
        <w:keepLines w:val="0"/>
        <w:pageBreakBefore w:val="0"/>
        <w:numPr>
          <w:ilvl w:val="0"/>
          <w:numId w:val="0"/>
        </w:numPr>
        <w:kinsoku/>
        <w:wordWrap/>
        <w:overflowPunct/>
        <w:topLinePunct w:val="0"/>
        <w:autoSpaceDE/>
        <w:autoSpaceDN/>
        <w:bidi w:val="0"/>
        <w:adjustRightInd/>
        <w:snapToGrid/>
        <w:spacing w:line="540" w:lineRule="exact"/>
        <w:ind w:right="0"/>
        <w:textAlignment w:val="auto"/>
        <w:rPr>
          <w:color w:val="auto"/>
          <w:sz w:val="28"/>
          <w:szCs w:val="28"/>
        </w:rPr>
      </w:pPr>
      <w:r>
        <w:rPr>
          <w:rFonts w:hint="eastAsia"/>
          <w:color w:val="auto"/>
          <w:sz w:val="28"/>
          <w:szCs w:val="28"/>
        </w:rPr>
        <w:t>方为其提供违反法律、法规和社会公德以及其他损害社会公共利益或他人合法权益的服务。</w:t>
      </w:r>
    </w:p>
    <w:p w14:paraId="5743E1A6">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rFonts w:hint="eastAsia"/>
          <w:color w:val="auto"/>
          <w:sz w:val="28"/>
          <w:szCs w:val="28"/>
        </w:rPr>
      </w:pPr>
      <w:r>
        <w:rPr>
          <w:rFonts w:hint="eastAsia"/>
          <w:color w:val="auto"/>
          <w:sz w:val="28"/>
          <w:szCs w:val="28"/>
          <w:lang w:eastAsia="zh-CN"/>
        </w:rPr>
        <w:t>（</w:t>
      </w:r>
      <w:r>
        <w:rPr>
          <w:rFonts w:hint="eastAsia"/>
          <w:color w:val="auto"/>
          <w:sz w:val="28"/>
          <w:szCs w:val="28"/>
          <w:lang w:val="en-US" w:eastAsia="zh-CN"/>
        </w:rPr>
        <w:t>四</w:t>
      </w:r>
      <w:r>
        <w:rPr>
          <w:rFonts w:hint="eastAsia"/>
          <w:color w:val="auto"/>
          <w:sz w:val="28"/>
          <w:szCs w:val="28"/>
          <w:lang w:eastAsia="zh-CN"/>
        </w:rPr>
        <w:t>）</w:t>
      </w:r>
      <w:r>
        <w:rPr>
          <w:rFonts w:hint="eastAsia"/>
          <w:color w:val="auto"/>
          <w:sz w:val="28"/>
          <w:szCs w:val="28"/>
        </w:rPr>
        <w:t>甲方应按时、足额向乙方支付合同价款。因甲方不能按合同</w:t>
      </w:r>
    </w:p>
    <w:p w14:paraId="5CAD9059">
      <w:pPr>
        <w:pStyle w:val="51"/>
        <w:keepNext w:val="0"/>
        <w:keepLines w:val="0"/>
        <w:pageBreakBefore w:val="0"/>
        <w:numPr>
          <w:ilvl w:val="0"/>
          <w:numId w:val="0"/>
        </w:numPr>
        <w:kinsoku/>
        <w:wordWrap/>
        <w:overflowPunct/>
        <w:topLinePunct w:val="0"/>
        <w:autoSpaceDE/>
        <w:autoSpaceDN/>
        <w:bidi w:val="0"/>
        <w:adjustRightInd/>
        <w:snapToGrid/>
        <w:spacing w:line="540" w:lineRule="exact"/>
        <w:ind w:right="0"/>
        <w:textAlignment w:val="auto"/>
        <w:rPr>
          <w:rFonts w:hint="eastAsia"/>
          <w:b/>
          <w:bCs/>
          <w:color w:val="auto"/>
          <w:sz w:val="28"/>
          <w:szCs w:val="28"/>
          <w:shd w:val="clear" w:color="auto" w:fill="FFFFFF"/>
          <w:lang w:val="en-US" w:eastAsia="zh-CN"/>
        </w:rPr>
      </w:pPr>
      <w:r>
        <w:rPr>
          <w:rFonts w:hint="eastAsia"/>
          <w:color w:val="auto"/>
          <w:sz w:val="28"/>
          <w:szCs w:val="28"/>
        </w:rPr>
        <w:t>支付运营维护服务费用，所导致</w:t>
      </w:r>
      <w:r>
        <w:rPr>
          <w:rFonts w:hint="eastAsia"/>
          <w:bCs/>
          <w:color w:val="auto"/>
          <w:sz w:val="28"/>
          <w:szCs w:val="28"/>
          <w:shd w:val="clear" w:color="auto" w:fill="FFFFFF"/>
          <w:lang w:eastAsia="zh-CN"/>
        </w:rPr>
        <w:t>危险</w:t>
      </w:r>
      <w:r>
        <w:rPr>
          <w:rFonts w:hint="eastAsia"/>
          <w:bCs/>
          <w:color w:val="auto"/>
          <w:sz w:val="28"/>
          <w:szCs w:val="28"/>
          <w:shd w:val="clear" w:color="auto" w:fill="FFFFFF"/>
        </w:rPr>
        <w:t>废物污染防治物联网监管系统</w:t>
      </w:r>
      <w:r>
        <w:rPr>
          <w:rFonts w:hint="eastAsia"/>
          <w:color w:val="auto"/>
          <w:sz w:val="28"/>
          <w:szCs w:val="28"/>
        </w:rPr>
        <w:t>不能正常运转的，责任由甲方承担。</w:t>
      </w:r>
    </w:p>
    <w:p w14:paraId="619A6AC9">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2" w:firstLineChars="200"/>
        <w:textAlignment w:val="auto"/>
        <w:rPr>
          <w:b/>
          <w:bCs/>
          <w:color w:val="auto"/>
          <w:sz w:val="28"/>
          <w:szCs w:val="28"/>
          <w:shd w:val="clear" w:color="auto" w:fill="FFFFFF"/>
        </w:rPr>
      </w:pPr>
      <w:r>
        <w:rPr>
          <w:rFonts w:hint="eastAsia"/>
          <w:b/>
          <w:bCs/>
          <w:color w:val="auto"/>
          <w:sz w:val="28"/>
          <w:szCs w:val="28"/>
          <w:shd w:val="clear" w:color="auto" w:fill="FFFFFF"/>
          <w:lang w:val="en-US" w:eastAsia="zh-CN"/>
        </w:rPr>
        <w:t xml:space="preserve">第六条  </w:t>
      </w:r>
      <w:r>
        <w:rPr>
          <w:rFonts w:hint="eastAsia"/>
          <w:b/>
          <w:bCs/>
          <w:color w:val="auto"/>
          <w:sz w:val="28"/>
          <w:szCs w:val="28"/>
          <w:shd w:val="clear" w:color="auto" w:fill="FFFFFF"/>
        </w:rPr>
        <w:t>服务</w:t>
      </w:r>
    </w:p>
    <w:p w14:paraId="7B9134CE">
      <w:pPr>
        <w:pStyle w:val="51"/>
        <w:keepNext w:val="0"/>
        <w:keepLines w:val="0"/>
        <w:pageBreakBefore w:val="0"/>
        <w:numPr>
          <w:ilvl w:val="0"/>
          <w:numId w:val="5"/>
        </w:numPr>
        <w:kinsoku/>
        <w:wordWrap/>
        <w:overflowPunct/>
        <w:topLinePunct w:val="0"/>
        <w:autoSpaceDE/>
        <w:autoSpaceDN/>
        <w:bidi w:val="0"/>
        <w:adjustRightInd/>
        <w:snapToGrid/>
        <w:spacing w:line="540" w:lineRule="exact"/>
        <w:ind w:left="0" w:leftChars="0" w:right="0" w:firstLine="560" w:firstLineChars="200"/>
        <w:textAlignment w:val="auto"/>
        <w:rPr>
          <w:color w:val="auto"/>
          <w:sz w:val="28"/>
          <w:szCs w:val="28"/>
          <w:shd w:val="clear" w:color="auto" w:fill="FFFFFF"/>
        </w:rPr>
      </w:pPr>
      <w:r>
        <w:rPr>
          <w:rFonts w:hint="eastAsia"/>
          <w:color w:val="auto"/>
          <w:sz w:val="28"/>
          <w:szCs w:val="28"/>
          <w:shd w:val="clear" w:color="auto" w:fill="FFFFFF"/>
        </w:rPr>
        <w:t>在乙方为甲方提供运营维护期间，由乙方负责</w:t>
      </w:r>
      <w:r>
        <w:rPr>
          <w:rFonts w:hint="eastAsia"/>
          <w:color w:val="auto"/>
          <w:sz w:val="28"/>
          <w:szCs w:val="28"/>
          <w:shd w:val="clear" w:color="auto" w:fill="FFFFFF"/>
          <w:lang w:eastAsia="zh-CN"/>
        </w:rPr>
        <w:t>按照后附</w:t>
      </w:r>
      <w:r>
        <w:rPr>
          <w:rFonts w:hint="eastAsia"/>
          <w:color w:val="auto"/>
          <w:sz w:val="28"/>
          <w:szCs w:val="28"/>
          <w:highlight w:val="none"/>
          <w:shd w:val="clear" w:color="auto" w:fill="FFFFFF"/>
          <w:lang w:eastAsia="zh-CN"/>
        </w:rPr>
        <w:t>运维清单</w:t>
      </w:r>
      <w:r>
        <w:rPr>
          <w:rFonts w:hint="eastAsia"/>
          <w:color w:val="auto"/>
          <w:sz w:val="28"/>
          <w:szCs w:val="28"/>
          <w:shd w:val="clear" w:color="auto" w:fill="FFFFFF"/>
        </w:rPr>
        <w:t>定期对甲方所用设备提供维修、维护服务</w:t>
      </w:r>
      <w:r>
        <w:rPr>
          <w:rFonts w:hint="eastAsia"/>
          <w:color w:val="auto"/>
          <w:sz w:val="28"/>
          <w:szCs w:val="28"/>
          <w:shd w:val="clear" w:color="auto" w:fill="FFFFFF"/>
          <w:lang w:val="en-US" w:eastAsia="zh-CN"/>
        </w:rPr>
        <w:t>工作</w:t>
      </w:r>
      <w:r>
        <w:rPr>
          <w:rFonts w:hint="eastAsia"/>
          <w:color w:val="auto"/>
          <w:sz w:val="28"/>
          <w:szCs w:val="28"/>
          <w:shd w:val="clear" w:color="auto" w:fill="FFFFFF"/>
        </w:rPr>
        <w:t>。</w:t>
      </w:r>
    </w:p>
    <w:p w14:paraId="32E2DB5C">
      <w:pPr>
        <w:pStyle w:val="51"/>
        <w:keepNext w:val="0"/>
        <w:keepLines w:val="0"/>
        <w:pageBreakBefore w:val="0"/>
        <w:numPr>
          <w:ilvl w:val="0"/>
          <w:numId w:val="5"/>
        </w:numPr>
        <w:kinsoku/>
        <w:wordWrap/>
        <w:overflowPunct/>
        <w:topLinePunct w:val="0"/>
        <w:autoSpaceDE/>
        <w:autoSpaceDN/>
        <w:bidi w:val="0"/>
        <w:adjustRightInd/>
        <w:snapToGrid/>
        <w:spacing w:line="540" w:lineRule="exact"/>
        <w:ind w:left="0" w:leftChars="0" w:right="0" w:firstLine="560" w:firstLineChars="200"/>
        <w:textAlignment w:val="auto"/>
        <w:rPr>
          <w:color w:val="auto"/>
          <w:sz w:val="28"/>
          <w:szCs w:val="28"/>
          <w:shd w:val="clear" w:color="auto" w:fill="FFFFFF"/>
        </w:rPr>
      </w:pPr>
      <w:r>
        <w:rPr>
          <w:rFonts w:hint="eastAsia"/>
          <w:color w:val="auto"/>
          <w:sz w:val="28"/>
          <w:szCs w:val="28"/>
          <w:shd w:val="clear" w:color="auto" w:fill="FFFFFF"/>
        </w:rPr>
        <w:t>甲方系统出现问题需要乙方解决的，乙方应在接到甲方通知后的1个工作日内响应甲方，并及时提供解决方案。</w:t>
      </w:r>
    </w:p>
    <w:p w14:paraId="40A14E5F">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2" w:firstLineChars="200"/>
        <w:textAlignment w:val="auto"/>
        <w:rPr>
          <w:b/>
          <w:bCs/>
          <w:color w:val="auto"/>
          <w:sz w:val="28"/>
          <w:szCs w:val="28"/>
          <w:shd w:val="clear" w:color="auto" w:fill="FFFFFF"/>
        </w:rPr>
      </w:pPr>
      <w:r>
        <w:rPr>
          <w:rFonts w:hint="eastAsia"/>
          <w:b/>
          <w:bCs/>
          <w:color w:val="auto"/>
          <w:sz w:val="28"/>
          <w:szCs w:val="28"/>
          <w:shd w:val="clear" w:color="auto" w:fill="FFFFFF"/>
          <w:lang w:val="en-US" w:eastAsia="zh-CN"/>
        </w:rPr>
        <w:t xml:space="preserve">第七条  </w:t>
      </w:r>
      <w:r>
        <w:rPr>
          <w:rFonts w:hint="eastAsia"/>
          <w:b/>
          <w:bCs/>
          <w:color w:val="auto"/>
          <w:sz w:val="28"/>
          <w:szCs w:val="28"/>
          <w:shd w:val="clear" w:color="auto" w:fill="FFFFFF"/>
        </w:rPr>
        <w:t>违约责任</w:t>
      </w:r>
    </w:p>
    <w:p w14:paraId="3AA932E8">
      <w:pPr>
        <w:keepNext w:val="0"/>
        <w:keepLines w:val="0"/>
        <w:pageBreakBefore w:val="0"/>
        <w:kinsoku/>
        <w:wordWrap/>
        <w:overflowPunct/>
        <w:topLinePunct w:val="0"/>
        <w:autoSpaceDE/>
        <w:autoSpaceDN/>
        <w:bidi w:val="0"/>
        <w:adjustRightInd/>
        <w:snapToGrid/>
        <w:spacing w:line="540" w:lineRule="exact"/>
        <w:ind w:left="0" w:leftChars="0" w:right="0" w:firstLine="560" w:firstLineChars="200"/>
        <w:textAlignment w:val="auto"/>
        <w:rPr>
          <w:rFonts w:hint="eastAsia"/>
          <w:color w:val="auto"/>
          <w:sz w:val="28"/>
          <w:szCs w:val="28"/>
          <w:shd w:val="clear" w:color="auto" w:fill="FFFFFF"/>
          <w:lang w:eastAsia="zh-CN"/>
        </w:rPr>
      </w:pPr>
      <w:r>
        <w:rPr>
          <w:rFonts w:hint="eastAsia"/>
          <w:color w:val="auto"/>
          <w:sz w:val="28"/>
          <w:szCs w:val="28"/>
          <w:shd w:val="clear" w:color="auto" w:fill="FFFFFF"/>
          <w:lang w:val="en-US" w:eastAsia="zh-CN"/>
        </w:rPr>
        <w:t>1、</w:t>
      </w:r>
      <w:r>
        <w:rPr>
          <w:rFonts w:hint="eastAsia"/>
          <w:color w:val="auto"/>
          <w:sz w:val="28"/>
          <w:szCs w:val="28"/>
          <w:shd w:val="clear" w:color="auto" w:fill="FFFFFF"/>
        </w:rPr>
        <w:t>乙方</w:t>
      </w:r>
      <w:r>
        <w:rPr>
          <w:rFonts w:hint="eastAsia"/>
          <w:color w:val="auto"/>
          <w:sz w:val="28"/>
          <w:szCs w:val="28"/>
          <w:shd w:val="clear" w:color="auto" w:fill="FFFFFF"/>
          <w:lang w:eastAsia="zh-CN"/>
        </w:rPr>
        <w:t>如不能</w:t>
      </w:r>
      <w:r>
        <w:rPr>
          <w:rFonts w:hint="eastAsia"/>
          <w:color w:val="auto"/>
          <w:sz w:val="28"/>
          <w:szCs w:val="28"/>
          <w:shd w:val="clear" w:color="auto" w:fill="FFFFFF"/>
        </w:rPr>
        <w:t>按合同约定提供运营维护服务，</w:t>
      </w:r>
      <w:r>
        <w:rPr>
          <w:rFonts w:hint="eastAsia" w:ascii="宋体" w:hAnsi="宋体" w:eastAsia="宋体" w:cs="宋体"/>
          <w:color w:val="auto"/>
          <w:sz w:val="28"/>
          <w:szCs w:val="28"/>
          <w:shd w:val="clear" w:fill="FFFFFF"/>
          <w:lang w:val="en-US" w:eastAsia="zh-CN" w:bidi="ar-SA"/>
        </w:rPr>
        <w:t>每出现一次考核乙方500元</w:t>
      </w:r>
      <w:r>
        <w:rPr>
          <w:rFonts w:hint="eastAsia"/>
          <w:color w:val="auto"/>
          <w:sz w:val="28"/>
          <w:szCs w:val="28"/>
          <w:shd w:val="clear" w:color="auto" w:fill="FFFFFF"/>
          <w:lang w:eastAsia="zh-CN"/>
        </w:rPr>
        <w:t>。给甲方造成损失的，乙方承担全部赔偿责任。</w:t>
      </w:r>
    </w:p>
    <w:p w14:paraId="4CCB29F7">
      <w:pPr>
        <w:keepNext w:val="0"/>
        <w:keepLines w:val="0"/>
        <w:pageBreakBefore w:val="0"/>
        <w:kinsoku/>
        <w:wordWrap/>
        <w:overflowPunct/>
        <w:topLinePunct w:val="0"/>
        <w:autoSpaceDE/>
        <w:autoSpaceDN/>
        <w:bidi w:val="0"/>
        <w:adjustRightInd/>
        <w:snapToGrid/>
        <w:spacing w:line="540" w:lineRule="exact"/>
        <w:ind w:left="0" w:leftChars="0" w:right="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2、乙方出现违约行为或合同执行期间不能满足甲方运维需求的，必须在三日内整改完毕，不整改或整改后仍不合格的应向甲方支付合同总额20%的违约金，且甲方有权解除服务合同。合同的解除不免除乙方支付违约金的责任。</w:t>
      </w:r>
    </w:p>
    <w:p w14:paraId="16E40218">
      <w:pPr>
        <w:keepNext w:val="0"/>
        <w:keepLines w:val="0"/>
        <w:pageBreakBefore w:val="0"/>
        <w:kinsoku/>
        <w:wordWrap/>
        <w:overflowPunct/>
        <w:topLinePunct w:val="0"/>
        <w:autoSpaceDE/>
        <w:autoSpaceDN/>
        <w:bidi w:val="0"/>
        <w:adjustRightInd/>
        <w:snapToGrid/>
        <w:spacing w:line="540" w:lineRule="exact"/>
        <w:ind w:left="0" w:leftChars="0" w:right="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3、本合同所涉乙方违约及赔偿金，甲方有权从未付款中直接扣除。</w:t>
      </w:r>
    </w:p>
    <w:p w14:paraId="1707F71A">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2" w:firstLineChars="200"/>
        <w:textAlignment w:val="auto"/>
        <w:rPr>
          <w:b/>
          <w:bCs/>
          <w:color w:val="auto"/>
          <w:sz w:val="28"/>
          <w:szCs w:val="28"/>
          <w:shd w:val="clear" w:color="auto" w:fill="FFFFFF"/>
        </w:rPr>
      </w:pPr>
      <w:r>
        <w:rPr>
          <w:rFonts w:hint="eastAsia"/>
          <w:b/>
          <w:bCs/>
          <w:color w:val="auto"/>
          <w:sz w:val="28"/>
          <w:szCs w:val="28"/>
          <w:shd w:val="clear" w:color="auto" w:fill="FFFFFF"/>
          <w:lang w:val="en-US" w:eastAsia="zh-CN"/>
        </w:rPr>
        <w:t xml:space="preserve">第八条  </w:t>
      </w:r>
      <w:r>
        <w:rPr>
          <w:rFonts w:hint="eastAsia"/>
          <w:b/>
          <w:bCs/>
          <w:color w:val="auto"/>
          <w:sz w:val="28"/>
          <w:szCs w:val="28"/>
          <w:shd w:val="clear" w:color="auto" w:fill="FFFFFF"/>
        </w:rPr>
        <w:t>合同的变更与解除</w:t>
      </w:r>
    </w:p>
    <w:p w14:paraId="63F5CA0F">
      <w:pPr>
        <w:keepNext w:val="0"/>
        <w:keepLines w:val="0"/>
        <w:pageBreakBefore w:val="0"/>
        <w:kinsoku/>
        <w:wordWrap/>
        <w:overflowPunct/>
        <w:topLinePunct w:val="0"/>
        <w:autoSpaceDE/>
        <w:autoSpaceDN/>
        <w:bidi w:val="0"/>
        <w:adjustRightInd/>
        <w:snapToGrid/>
        <w:spacing w:line="540" w:lineRule="exact"/>
        <w:ind w:left="0" w:leftChars="0" w:right="0" w:firstLine="560" w:firstLineChars="200"/>
        <w:textAlignment w:val="auto"/>
        <w:rPr>
          <w:rFonts w:hint="eastAsia" w:eastAsia="宋体"/>
          <w:bCs/>
          <w:color w:val="auto"/>
          <w:sz w:val="28"/>
          <w:szCs w:val="28"/>
          <w:shd w:val="clear" w:color="auto" w:fill="FFFFFF"/>
          <w:lang w:eastAsia="zh-CN"/>
        </w:rPr>
      </w:pPr>
      <w:r>
        <w:rPr>
          <w:rFonts w:hint="eastAsia"/>
          <w:bCs/>
          <w:color w:val="auto"/>
          <w:sz w:val="28"/>
          <w:szCs w:val="28"/>
          <w:shd w:val="clear" w:color="auto" w:fill="FFFFFF"/>
        </w:rPr>
        <w:t>因不可抗力或国家法律、法规或政策的变化，导致对系统的要求发生变化，致使合同目不能实现的，双方可以书面变更或解除合同，双方互不承担违约责任。</w:t>
      </w:r>
      <w:r>
        <w:rPr>
          <w:rFonts w:hint="eastAsia"/>
          <w:bCs/>
          <w:color w:val="auto"/>
          <w:sz w:val="28"/>
          <w:szCs w:val="28"/>
          <w:shd w:val="clear" w:color="auto" w:fill="FFFFFF"/>
          <w:lang w:eastAsia="zh-CN"/>
        </w:rPr>
        <w:t>乙方应尽措施降低上述情况对甲方造成的影响。</w:t>
      </w:r>
    </w:p>
    <w:p w14:paraId="18A36C66">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2" w:firstLineChars="200"/>
        <w:textAlignment w:val="auto"/>
        <w:rPr>
          <w:rFonts w:hint="eastAsia" w:eastAsia="宋体"/>
          <w:b/>
          <w:bCs/>
          <w:color w:val="auto"/>
          <w:sz w:val="28"/>
          <w:szCs w:val="28"/>
          <w:shd w:val="clear" w:color="auto" w:fill="FFFFFF"/>
          <w:lang w:eastAsia="zh-CN"/>
        </w:rPr>
      </w:pPr>
      <w:r>
        <w:rPr>
          <w:rFonts w:hint="eastAsia"/>
          <w:b/>
          <w:bCs/>
          <w:color w:val="auto"/>
          <w:sz w:val="28"/>
          <w:szCs w:val="28"/>
          <w:shd w:val="clear" w:color="auto" w:fill="FFFFFF"/>
          <w:lang w:val="en-US" w:eastAsia="zh-CN"/>
        </w:rPr>
        <w:t xml:space="preserve">第九条  </w:t>
      </w:r>
      <w:r>
        <w:rPr>
          <w:rFonts w:hint="eastAsia"/>
          <w:b/>
          <w:bCs/>
          <w:color w:val="auto"/>
          <w:sz w:val="28"/>
          <w:szCs w:val="28"/>
          <w:shd w:val="clear" w:color="auto" w:fill="FFFFFF"/>
        </w:rPr>
        <w:t>争议解决</w:t>
      </w:r>
    </w:p>
    <w:p w14:paraId="73AF5B9F">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color w:val="auto"/>
        </w:rPr>
      </w:pPr>
      <w:r>
        <w:rPr>
          <w:rFonts w:hint="eastAsia"/>
          <w:bCs/>
          <w:color w:val="auto"/>
          <w:sz w:val="28"/>
          <w:szCs w:val="28"/>
          <w:shd w:val="clear" w:color="auto" w:fill="FFFFFF"/>
        </w:rPr>
        <w:t>在本合同履行中，如双方发生争议，应尽量通过协商解决，协商不成的，按下列方式解决：提交甲方所在地有管辖权的人民法院管辖；</w:t>
      </w:r>
    </w:p>
    <w:p w14:paraId="1FF3402C">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2" w:firstLineChars="200"/>
        <w:textAlignment w:val="auto"/>
        <w:rPr>
          <w:color w:val="auto"/>
          <w:sz w:val="28"/>
          <w:szCs w:val="28"/>
          <w:shd w:val="clear" w:color="auto" w:fill="FFFFFF"/>
        </w:rPr>
      </w:pPr>
      <w:r>
        <w:rPr>
          <w:rFonts w:hint="eastAsia"/>
          <w:b/>
          <w:bCs/>
          <w:color w:val="auto"/>
          <w:sz w:val="28"/>
          <w:szCs w:val="28"/>
          <w:shd w:val="clear" w:color="auto" w:fill="FFFFFF"/>
          <w:lang w:val="en-US" w:eastAsia="zh-CN"/>
        </w:rPr>
        <w:t xml:space="preserve">第十条  </w:t>
      </w:r>
      <w:r>
        <w:rPr>
          <w:rFonts w:hint="eastAsia"/>
          <w:b/>
          <w:bCs/>
          <w:color w:val="auto"/>
          <w:sz w:val="28"/>
          <w:szCs w:val="28"/>
          <w:shd w:val="clear" w:color="auto" w:fill="FFFFFF"/>
        </w:rPr>
        <w:t>其他</w:t>
      </w:r>
    </w:p>
    <w:p w14:paraId="35DDF85A">
      <w:pPr>
        <w:pStyle w:val="51"/>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color w:val="auto"/>
          <w:sz w:val="28"/>
          <w:szCs w:val="28"/>
          <w:shd w:val="clear" w:color="auto" w:fill="FFFFFF"/>
        </w:rPr>
      </w:pPr>
      <w:r>
        <w:rPr>
          <w:rFonts w:hint="eastAsia"/>
          <w:color w:val="auto"/>
          <w:sz w:val="28"/>
          <w:szCs w:val="28"/>
          <w:shd w:val="clear" w:color="auto" w:fill="FFFFFF"/>
          <w:lang w:val="en-US" w:eastAsia="zh-CN"/>
        </w:rPr>
        <w:t>（一）乙方现场运维人员应遵守甲方现场的各项规章制度，并作好自我安全防护措施，若由于自身原因造成不安全事件发生，一切责任由乙方承担。</w:t>
      </w:r>
    </w:p>
    <w:p w14:paraId="59EAD238">
      <w:pPr>
        <w:pStyle w:val="51"/>
        <w:keepNext w:val="0"/>
        <w:keepLines w:val="0"/>
        <w:pageBreakBefore w:val="0"/>
        <w:kinsoku/>
        <w:wordWrap/>
        <w:overflowPunct/>
        <w:topLinePunct w:val="0"/>
        <w:autoSpaceDE/>
        <w:autoSpaceDN/>
        <w:bidi w:val="0"/>
        <w:adjustRightInd/>
        <w:snapToGrid/>
        <w:spacing w:line="540" w:lineRule="exact"/>
        <w:ind w:left="0" w:leftChars="0" w:right="0" w:firstLine="560" w:firstLineChars="200"/>
        <w:textAlignment w:val="auto"/>
        <w:rPr>
          <w:rFonts w:hint="eastAsia"/>
          <w:color w:val="auto"/>
          <w:sz w:val="28"/>
          <w:szCs w:val="28"/>
          <w:shd w:val="clear" w:color="auto" w:fill="FFFFFF"/>
        </w:rPr>
      </w:pPr>
      <w:r>
        <w:rPr>
          <w:rFonts w:hint="eastAsia"/>
          <w:color w:val="auto"/>
          <w:sz w:val="28"/>
          <w:szCs w:val="28"/>
          <w:highlight w:val="none"/>
          <w:shd w:val="clear" w:color="auto" w:fill="FFFFFF"/>
          <w:lang w:eastAsia="zh-CN"/>
        </w:rPr>
        <w:t>（</w:t>
      </w:r>
      <w:r>
        <w:rPr>
          <w:rFonts w:hint="eastAsia"/>
          <w:color w:val="auto"/>
          <w:sz w:val="28"/>
          <w:szCs w:val="28"/>
          <w:highlight w:val="none"/>
          <w:shd w:val="clear" w:color="auto" w:fill="FFFFFF"/>
          <w:lang w:val="en-US" w:eastAsia="zh-CN"/>
        </w:rPr>
        <w:t>二</w:t>
      </w:r>
      <w:r>
        <w:rPr>
          <w:rFonts w:hint="eastAsia"/>
          <w:color w:val="auto"/>
          <w:sz w:val="28"/>
          <w:szCs w:val="28"/>
          <w:highlight w:val="none"/>
          <w:shd w:val="clear" w:color="auto" w:fill="FFFFFF"/>
          <w:lang w:eastAsia="zh-CN"/>
        </w:rPr>
        <w:t>）</w:t>
      </w:r>
      <w:r>
        <w:rPr>
          <w:rFonts w:hint="eastAsia"/>
          <w:color w:val="auto"/>
          <w:sz w:val="28"/>
          <w:szCs w:val="28"/>
          <w:shd w:val="clear" w:color="auto" w:fill="FFFFFF"/>
        </w:rPr>
        <w:t>合同一式</w:t>
      </w:r>
      <w:r>
        <w:rPr>
          <w:rFonts w:hint="eastAsia"/>
          <w:color w:val="auto"/>
          <w:sz w:val="28"/>
          <w:szCs w:val="28"/>
          <w:u w:val="single"/>
          <w:shd w:val="clear" w:color="auto" w:fill="FFFFFF"/>
        </w:rPr>
        <w:t xml:space="preserve"> </w:t>
      </w:r>
      <w:r>
        <w:rPr>
          <w:rFonts w:hint="eastAsia"/>
          <w:color w:val="auto"/>
          <w:sz w:val="28"/>
          <w:szCs w:val="28"/>
          <w:u w:val="single"/>
          <w:shd w:val="clear" w:color="auto" w:fill="FFFFFF"/>
          <w:lang w:val="en-US" w:eastAsia="zh-CN"/>
        </w:rPr>
        <w:t>五</w:t>
      </w:r>
      <w:r>
        <w:rPr>
          <w:rFonts w:hint="eastAsia"/>
          <w:color w:val="auto"/>
          <w:sz w:val="28"/>
          <w:szCs w:val="28"/>
          <w:u w:val="single"/>
          <w:shd w:val="clear" w:color="auto" w:fill="FFFFFF"/>
        </w:rPr>
        <w:t xml:space="preserve"> </w:t>
      </w:r>
      <w:r>
        <w:rPr>
          <w:rFonts w:hint="eastAsia"/>
          <w:color w:val="auto"/>
          <w:sz w:val="28"/>
          <w:szCs w:val="28"/>
          <w:shd w:val="clear" w:color="auto" w:fill="FFFFFF"/>
        </w:rPr>
        <w:t>份，甲方执</w:t>
      </w:r>
      <w:r>
        <w:rPr>
          <w:rFonts w:hint="eastAsia"/>
          <w:color w:val="auto"/>
          <w:sz w:val="28"/>
          <w:szCs w:val="28"/>
          <w:u w:val="single"/>
          <w:shd w:val="clear" w:color="auto" w:fill="FFFFFF"/>
        </w:rPr>
        <w:t xml:space="preserve"> </w:t>
      </w:r>
      <w:r>
        <w:rPr>
          <w:rFonts w:hint="eastAsia"/>
          <w:color w:val="auto"/>
          <w:sz w:val="28"/>
          <w:szCs w:val="28"/>
          <w:u w:val="single"/>
          <w:shd w:val="clear" w:color="auto" w:fill="FFFFFF"/>
          <w:lang w:val="en-US" w:eastAsia="zh-CN"/>
        </w:rPr>
        <w:t>三</w:t>
      </w:r>
      <w:r>
        <w:rPr>
          <w:rFonts w:hint="eastAsia"/>
          <w:color w:val="auto"/>
          <w:sz w:val="28"/>
          <w:szCs w:val="28"/>
          <w:u w:val="single"/>
          <w:shd w:val="clear" w:color="auto" w:fill="FFFFFF"/>
        </w:rPr>
        <w:t xml:space="preserve"> </w:t>
      </w:r>
      <w:r>
        <w:rPr>
          <w:rFonts w:hint="eastAsia"/>
          <w:color w:val="auto"/>
          <w:sz w:val="28"/>
          <w:szCs w:val="28"/>
          <w:shd w:val="clear" w:color="auto" w:fill="FFFFFF"/>
        </w:rPr>
        <w:t>份，乙方执</w:t>
      </w:r>
      <w:r>
        <w:rPr>
          <w:rFonts w:hint="eastAsia"/>
          <w:color w:val="auto"/>
          <w:sz w:val="28"/>
          <w:szCs w:val="28"/>
          <w:u w:val="single"/>
          <w:shd w:val="clear" w:color="auto" w:fill="FFFFFF"/>
        </w:rPr>
        <w:t xml:space="preserve"> </w:t>
      </w:r>
      <w:r>
        <w:rPr>
          <w:rFonts w:hint="eastAsia"/>
          <w:color w:val="auto"/>
          <w:sz w:val="28"/>
          <w:szCs w:val="28"/>
          <w:u w:val="single"/>
          <w:shd w:val="clear" w:color="auto" w:fill="FFFFFF"/>
          <w:lang w:eastAsia="zh-CN"/>
        </w:rPr>
        <w:t>二</w:t>
      </w:r>
      <w:r>
        <w:rPr>
          <w:rFonts w:hint="eastAsia"/>
          <w:color w:val="auto"/>
          <w:sz w:val="28"/>
          <w:szCs w:val="28"/>
          <w:u w:val="single"/>
          <w:shd w:val="clear" w:color="auto" w:fill="FFFFFF"/>
        </w:rPr>
        <w:t xml:space="preserve"> </w:t>
      </w:r>
      <w:r>
        <w:rPr>
          <w:rFonts w:hint="eastAsia"/>
          <w:color w:val="auto"/>
          <w:sz w:val="28"/>
          <w:szCs w:val="28"/>
          <w:shd w:val="clear" w:color="auto" w:fill="FFFFFF"/>
        </w:rPr>
        <w:t>份，经双方法定代表人签字</w:t>
      </w:r>
      <w:r>
        <w:rPr>
          <w:rFonts w:hint="eastAsia"/>
          <w:color w:val="auto"/>
          <w:sz w:val="28"/>
          <w:szCs w:val="28"/>
          <w:shd w:val="clear" w:color="auto" w:fill="FFFFFF"/>
          <w:lang w:eastAsia="zh-CN"/>
        </w:rPr>
        <w:t>并</w:t>
      </w:r>
      <w:r>
        <w:rPr>
          <w:rFonts w:hint="eastAsia"/>
          <w:color w:val="auto"/>
          <w:sz w:val="28"/>
          <w:szCs w:val="28"/>
          <w:highlight w:val="none"/>
          <w:shd w:val="clear" w:color="auto" w:fill="FFFFFF"/>
          <w:lang w:eastAsia="zh-CN"/>
        </w:rPr>
        <w:t>盖章</w:t>
      </w:r>
      <w:r>
        <w:rPr>
          <w:rFonts w:hint="eastAsia"/>
          <w:color w:val="auto"/>
          <w:sz w:val="28"/>
          <w:szCs w:val="28"/>
          <w:shd w:val="clear" w:color="auto" w:fill="FFFFFF"/>
        </w:rPr>
        <w:t>后生效，具有同等法律效力。</w:t>
      </w:r>
    </w:p>
    <w:p w14:paraId="48C04C60">
      <w:pPr>
        <w:pStyle w:val="51"/>
        <w:keepNext w:val="0"/>
        <w:keepLines w:val="0"/>
        <w:pageBreakBefore w:val="0"/>
        <w:kinsoku/>
        <w:wordWrap/>
        <w:overflowPunct/>
        <w:topLinePunct w:val="0"/>
        <w:autoSpaceDE/>
        <w:autoSpaceDN/>
        <w:bidi w:val="0"/>
        <w:adjustRightInd/>
        <w:snapToGrid/>
        <w:spacing w:line="540" w:lineRule="exact"/>
        <w:ind w:left="0" w:leftChars="0" w:right="0" w:firstLine="560" w:firstLineChars="200"/>
        <w:textAlignment w:val="auto"/>
        <w:rPr>
          <w:rFonts w:hint="eastAsia"/>
          <w:color w:val="auto"/>
          <w:sz w:val="28"/>
          <w:szCs w:val="28"/>
          <w:shd w:val="clear" w:color="auto" w:fill="FFFFFF"/>
        </w:rPr>
      </w:pPr>
      <w:r>
        <w:rPr>
          <w:rFonts w:hint="eastAsia"/>
          <w:color w:val="auto"/>
          <w:sz w:val="28"/>
          <w:szCs w:val="28"/>
          <w:highlight w:val="none"/>
          <w:shd w:val="clear" w:color="auto" w:fill="FFFFFF"/>
          <w:lang w:eastAsia="zh-CN"/>
        </w:rPr>
        <w:t>（</w:t>
      </w:r>
      <w:r>
        <w:rPr>
          <w:rFonts w:hint="eastAsia"/>
          <w:color w:val="auto"/>
          <w:sz w:val="28"/>
          <w:szCs w:val="28"/>
          <w:highlight w:val="none"/>
          <w:shd w:val="clear" w:color="auto" w:fill="FFFFFF"/>
          <w:lang w:val="en-US" w:eastAsia="zh-CN"/>
        </w:rPr>
        <w:t>三</w:t>
      </w:r>
      <w:r>
        <w:rPr>
          <w:rFonts w:hint="eastAsia"/>
          <w:color w:val="auto"/>
          <w:sz w:val="28"/>
          <w:szCs w:val="28"/>
          <w:highlight w:val="none"/>
          <w:shd w:val="clear" w:color="auto" w:fill="FFFFFF"/>
          <w:lang w:eastAsia="zh-CN"/>
        </w:rPr>
        <w:t>）</w:t>
      </w:r>
      <w:r>
        <w:rPr>
          <w:rFonts w:hint="eastAsia"/>
          <w:color w:val="auto"/>
          <w:sz w:val="28"/>
          <w:szCs w:val="28"/>
          <w:shd w:val="clear" w:color="auto" w:fill="FFFFFF"/>
        </w:rPr>
        <w:t>对本合同的任何补充与修改均应由双方签订书面补充合同。补充协议与本协议均具有同等法律效力。</w:t>
      </w:r>
    </w:p>
    <w:p w14:paraId="3DFB6263">
      <w:pPr>
        <w:pStyle w:val="51"/>
        <w:keepNext w:val="0"/>
        <w:keepLines w:val="0"/>
        <w:pageBreakBefore w:val="0"/>
        <w:kinsoku/>
        <w:wordWrap/>
        <w:overflowPunct/>
        <w:topLinePunct w:val="0"/>
        <w:bidi w:val="0"/>
        <w:adjustRightInd/>
        <w:snapToGrid/>
        <w:spacing w:line="540" w:lineRule="exact"/>
        <w:ind w:left="0" w:leftChars="0" w:right="0" w:firstLine="560" w:firstLineChars="200"/>
        <w:textAlignment w:val="auto"/>
        <w:rPr>
          <w:rFonts w:hint="eastAsia"/>
          <w:color w:val="auto"/>
          <w:sz w:val="28"/>
          <w:szCs w:val="28"/>
          <w:shd w:val="clear" w:color="auto" w:fill="FFFFFF"/>
          <w:lang w:eastAsia="zh-CN"/>
        </w:rPr>
      </w:pPr>
      <w:r>
        <w:rPr>
          <w:rFonts w:hint="eastAsia"/>
          <w:color w:val="auto"/>
          <w:sz w:val="28"/>
          <w:szCs w:val="28"/>
          <w:shd w:val="clear" w:color="auto" w:fill="FFFFFF"/>
          <w:lang w:eastAsia="zh-CN"/>
        </w:rPr>
        <w:t>（四）本合同的附件是本合同不可分割的组成部分,与本合同具有同等的法律效力。</w:t>
      </w:r>
    </w:p>
    <w:p w14:paraId="5BC1F7F3">
      <w:pPr>
        <w:pStyle w:val="51"/>
        <w:keepNext w:val="0"/>
        <w:keepLines w:val="0"/>
        <w:pageBreakBefore w:val="0"/>
        <w:kinsoku/>
        <w:wordWrap/>
        <w:overflowPunct/>
        <w:topLinePunct w:val="0"/>
        <w:bidi w:val="0"/>
        <w:adjustRightInd/>
        <w:snapToGrid/>
        <w:spacing w:line="540" w:lineRule="exact"/>
        <w:ind w:left="0" w:leftChars="0" w:right="0" w:firstLine="0" w:firstLineChars="0"/>
        <w:jc w:val="center"/>
        <w:textAlignment w:val="auto"/>
        <w:rPr>
          <w:rFonts w:hint="eastAsia"/>
          <w:color w:val="auto"/>
          <w:sz w:val="28"/>
          <w:szCs w:val="28"/>
          <w:shd w:val="clear" w:color="auto" w:fill="FFFFFF"/>
          <w:lang w:eastAsia="zh-CN"/>
        </w:rPr>
      </w:pPr>
      <w:r>
        <w:rPr>
          <w:rFonts w:hint="eastAsia"/>
          <w:color w:val="auto"/>
          <w:sz w:val="28"/>
          <w:szCs w:val="28"/>
          <w:shd w:val="clear" w:color="auto" w:fill="FFFFFF"/>
          <w:lang w:eastAsia="zh-CN"/>
        </w:rPr>
        <w:t>以下无正文</w:t>
      </w:r>
    </w:p>
    <w:tbl>
      <w:tblPr>
        <w:tblStyle w:val="2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8"/>
        <w:gridCol w:w="4730"/>
      </w:tblGrid>
      <w:tr w14:paraId="5D89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420" w:type="dxa"/>
            <w:vAlign w:val="center"/>
          </w:tcPr>
          <w:p w14:paraId="38C04F50">
            <w:pPr>
              <w:keepNext w:val="0"/>
              <w:keepLines w:val="0"/>
              <w:pageBreakBefore w:val="0"/>
              <w:kinsoku/>
              <w:wordWrap/>
              <w:overflowPunct/>
              <w:topLinePunct w:val="0"/>
              <w:bidi w:val="0"/>
              <w:adjustRightInd/>
              <w:snapToGrid/>
              <w:spacing w:line="540" w:lineRule="exact"/>
              <w:ind w:right="0"/>
              <w:jc w:val="center"/>
              <w:textAlignment w:val="auto"/>
              <w:rPr>
                <w:color w:val="auto"/>
                <w:sz w:val="28"/>
                <w:szCs w:val="28"/>
                <w:shd w:val="clear" w:color="auto" w:fill="FFFFFF"/>
              </w:rPr>
            </w:pPr>
            <w:r>
              <w:rPr>
                <w:rFonts w:hint="eastAsia"/>
                <w:color w:val="auto"/>
                <w:sz w:val="28"/>
                <w:szCs w:val="28"/>
                <w:shd w:val="clear" w:color="auto" w:fill="FFFFFF"/>
              </w:rPr>
              <w:t>甲方（需方</w:t>
            </w:r>
            <w:r>
              <w:rPr>
                <w:color w:val="auto"/>
                <w:sz w:val="28"/>
                <w:szCs w:val="28"/>
                <w:shd w:val="clear" w:color="auto" w:fill="FFFFFF"/>
              </w:rPr>
              <w:t>）</w:t>
            </w:r>
          </w:p>
        </w:tc>
        <w:tc>
          <w:tcPr>
            <w:tcW w:w="4259" w:type="dxa"/>
            <w:vAlign w:val="center"/>
          </w:tcPr>
          <w:p w14:paraId="0F29586C">
            <w:pPr>
              <w:keepNext w:val="0"/>
              <w:keepLines w:val="0"/>
              <w:pageBreakBefore w:val="0"/>
              <w:kinsoku/>
              <w:wordWrap/>
              <w:overflowPunct/>
              <w:topLinePunct w:val="0"/>
              <w:bidi w:val="0"/>
              <w:adjustRightInd/>
              <w:snapToGrid/>
              <w:spacing w:line="540" w:lineRule="exact"/>
              <w:ind w:right="0"/>
              <w:jc w:val="center"/>
              <w:textAlignment w:val="auto"/>
              <w:rPr>
                <w:color w:val="auto"/>
                <w:sz w:val="28"/>
                <w:szCs w:val="28"/>
                <w:shd w:val="clear" w:color="auto" w:fill="FFFFFF"/>
              </w:rPr>
            </w:pPr>
            <w:r>
              <w:rPr>
                <w:rFonts w:hint="eastAsia"/>
                <w:color w:val="auto"/>
                <w:sz w:val="28"/>
                <w:szCs w:val="28"/>
                <w:shd w:val="clear" w:color="auto" w:fill="FFFFFF"/>
              </w:rPr>
              <w:t>乙方（供方）</w:t>
            </w:r>
          </w:p>
        </w:tc>
      </w:tr>
      <w:tr w14:paraId="1CC6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4420" w:type="dxa"/>
          </w:tcPr>
          <w:p w14:paraId="0F4D63FD">
            <w:pPr>
              <w:keepNext w:val="0"/>
              <w:keepLines w:val="0"/>
              <w:pageBreakBefore w:val="0"/>
              <w:kinsoku/>
              <w:wordWrap/>
              <w:overflowPunct/>
              <w:topLinePunct w:val="0"/>
              <w:bidi w:val="0"/>
              <w:adjustRightInd/>
              <w:snapToGrid/>
              <w:spacing w:line="540" w:lineRule="exact"/>
              <w:ind w:right="0"/>
              <w:textAlignment w:val="auto"/>
              <w:rPr>
                <w:rFonts w:ascii="Calibri" w:hAnsi="Calibri" w:cs="Calibri"/>
                <w:color w:val="auto"/>
                <w:sz w:val="28"/>
                <w:szCs w:val="28"/>
                <w:shd w:val="clear" w:color="auto" w:fill="FFFFFF"/>
              </w:rPr>
            </w:pPr>
          </w:p>
          <w:p w14:paraId="5FFD70ED">
            <w:pPr>
              <w:keepNext w:val="0"/>
              <w:keepLines w:val="0"/>
              <w:pageBreakBefore w:val="0"/>
              <w:kinsoku/>
              <w:wordWrap/>
              <w:overflowPunct/>
              <w:topLinePunct w:val="0"/>
              <w:bidi w:val="0"/>
              <w:adjustRightInd/>
              <w:snapToGrid/>
              <w:spacing w:line="540" w:lineRule="exact"/>
              <w:ind w:right="0"/>
              <w:textAlignment w:val="auto"/>
              <w:rPr>
                <w:rFonts w:ascii="Calibri" w:hAnsi="Calibri" w:cs="Calibri"/>
                <w:color w:val="auto"/>
                <w:sz w:val="28"/>
                <w:szCs w:val="28"/>
                <w:shd w:val="clear" w:color="auto" w:fill="FFFFFF"/>
              </w:rPr>
            </w:pPr>
            <w:r>
              <w:rPr>
                <w:rFonts w:ascii="Calibri" w:hAnsi="Calibri" w:cs="Calibri"/>
                <w:color w:val="auto"/>
                <w:sz w:val="28"/>
                <w:szCs w:val="28"/>
                <w:shd w:val="clear" w:color="auto" w:fill="FFFFFF"/>
              </w:rPr>
              <w:t>单位名称（章）：</w:t>
            </w:r>
          </w:p>
          <w:p w14:paraId="79D3F1BC">
            <w:pPr>
              <w:keepNext w:val="0"/>
              <w:keepLines w:val="0"/>
              <w:pageBreakBefore w:val="0"/>
              <w:kinsoku/>
              <w:wordWrap/>
              <w:overflowPunct/>
              <w:topLinePunct w:val="0"/>
              <w:bidi w:val="0"/>
              <w:adjustRightInd/>
              <w:snapToGrid/>
              <w:spacing w:line="540" w:lineRule="exact"/>
              <w:ind w:left="0" w:leftChars="0" w:right="0" w:firstLine="560" w:firstLineChars="200"/>
              <w:textAlignment w:val="auto"/>
              <w:rPr>
                <w:rFonts w:ascii="Calibri" w:hAnsi="Calibri" w:cs="Calibri"/>
                <w:color w:val="auto"/>
                <w:sz w:val="28"/>
                <w:szCs w:val="28"/>
                <w:shd w:val="clear" w:color="auto" w:fill="FFFFFF"/>
              </w:rPr>
            </w:pPr>
          </w:p>
          <w:p w14:paraId="1CA4447E">
            <w:pPr>
              <w:keepNext w:val="0"/>
              <w:keepLines w:val="0"/>
              <w:pageBreakBefore w:val="0"/>
              <w:kinsoku/>
              <w:wordWrap/>
              <w:overflowPunct/>
              <w:topLinePunct w:val="0"/>
              <w:bidi w:val="0"/>
              <w:adjustRightInd/>
              <w:snapToGrid/>
              <w:spacing w:line="540" w:lineRule="exact"/>
              <w:ind w:right="0"/>
              <w:textAlignment w:val="auto"/>
              <w:rPr>
                <w:color w:val="auto"/>
                <w:sz w:val="28"/>
                <w:szCs w:val="28"/>
                <w:shd w:val="clear" w:color="auto" w:fill="FFFFFF"/>
              </w:rPr>
            </w:pPr>
            <w:r>
              <w:rPr>
                <w:rFonts w:ascii="Calibri" w:hAnsi="Calibri" w:cs="Calibri"/>
                <w:color w:val="auto"/>
                <w:sz w:val="28"/>
                <w:szCs w:val="28"/>
                <w:shd w:val="clear" w:color="auto" w:fill="FFFFFF"/>
              </w:rPr>
              <w:t>委托代理人：</w:t>
            </w:r>
          </w:p>
          <w:p w14:paraId="036DDA07">
            <w:pPr>
              <w:keepNext w:val="0"/>
              <w:keepLines w:val="0"/>
              <w:pageBreakBefore w:val="0"/>
              <w:kinsoku/>
              <w:wordWrap/>
              <w:overflowPunct/>
              <w:topLinePunct w:val="0"/>
              <w:bidi w:val="0"/>
              <w:adjustRightInd/>
              <w:snapToGrid/>
              <w:spacing w:line="540" w:lineRule="exact"/>
              <w:ind w:right="0"/>
              <w:textAlignment w:val="auto"/>
              <w:rPr>
                <w:color w:val="auto"/>
                <w:sz w:val="28"/>
                <w:szCs w:val="28"/>
                <w:shd w:val="clear" w:color="auto" w:fill="FFFFFF"/>
              </w:rPr>
            </w:pPr>
            <w:r>
              <w:rPr>
                <w:color w:val="auto"/>
                <w:sz w:val="28"/>
                <w:szCs w:val="28"/>
                <w:u w:val="single"/>
                <w:shd w:val="clear" w:color="auto" w:fill="FFFFFF"/>
              </w:rPr>
              <w:t xml:space="preserve">    </w:t>
            </w:r>
            <w:r>
              <w:rPr>
                <w:rFonts w:hint="eastAsia"/>
                <w:color w:val="auto"/>
                <w:sz w:val="28"/>
                <w:szCs w:val="28"/>
                <w:u w:val="single"/>
                <w:shd w:val="clear" w:color="auto" w:fill="FFFFFF"/>
                <w:lang w:val="en-US" w:eastAsia="zh-CN"/>
              </w:rPr>
              <w:t xml:space="preserve">  </w:t>
            </w:r>
            <w:r>
              <w:rPr>
                <w:color w:val="auto"/>
                <w:sz w:val="28"/>
                <w:szCs w:val="28"/>
                <w:u w:val="single"/>
                <w:shd w:val="clear" w:color="auto" w:fill="FFFFFF"/>
              </w:rPr>
              <w:t xml:space="preserve"> </w:t>
            </w:r>
            <w:r>
              <w:rPr>
                <w:rFonts w:hint="eastAsia"/>
                <w:color w:val="auto"/>
                <w:sz w:val="28"/>
                <w:szCs w:val="28"/>
                <w:u w:val="single"/>
                <w:shd w:val="clear" w:color="auto" w:fill="FFFFFF"/>
              </w:rPr>
              <w:t xml:space="preserve"> </w:t>
            </w:r>
            <w:r>
              <w:rPr>
                <w:rFonts w:hint="eastAsia"/>
                <w:color w:val="auto"/>
                <w:sz w:val="28"/>
                <w:szCs w:val="28"/>
                <w:shd w:val="clear" w:color="auto" w:fill="FFFFFF"/>
              </w:rPr>
              <w:t>年</w:t>
            </w:r>
            <w:r>
              <w:rPr>
                <w:rFonts w:hint="eastAsia"/>
                <w:color w:val="auto"/>
                <w:sz w:val="28"/>
                <w:szCs w:val="28"/>
                <w:u w:val="single"/>
                <w:shd w:val="clear" w:color="auto" w:fill="FFFFFF"/>
              </w:rPr>
              <w:t xml:space="preserve"> </w:t>
            </w:r>
            <w:r>
              <w:rPr>
                <w:color w:val="auto"/>
                <w:sz w:val="28"/>
                <w:szCs w:val="28"/>
                <w:u w:val="single"/>
                <w:shd w:val="clear" w:color="auto" w:fill="FFFFFF"/>
              </w:rPr>
              <w:t xml:space="preserve">  </w:t>
            </w:r>
            <w:r>
              <w:rPr>
                <w:rFonts w:hint="eastAsia"/>
                <w:color w:val="auto"/>
                <w:sz w:val="28"/>
                <w:szCs w:val="28"/>
                <w:u w:val="single"/>
                <w:shd w:val="clear" w:color="auto" w:fill="FFFFFF"/>
                <w:lang w:val="en-US" w:eastAsia="zh-CN"/>
              </w:rPr>
              <w:t xml:space="preserve"> </w:t>
            </w:r>
            <w:r>
              <w:rPr>
                <w:color w:val="auto"/>
                <w:sz w:val="28"/>
                <w:szCs w:val="28"/>
                <w:u w:val="single"/>
                <w:shd w:val="clear" w:color="auto" w:fill="FFFFFF"/>
              </w:rPr>
              <w:t xml:space="preserve">  </w:t>
            </w:r>
            <w:r>
              <w:rPr>
                <w:rFonts w:hint="eastAsia"/>
                <w:color w:val="auto"/>
                <w:sz w:val="28"/>
                <w:szCs w:val="28"/>
                <w:shd w:val="clear" w:color="auto" w:fill="FFFFFF"/>
              </w:rPr>
              <w:t>月</w:t>
            </w:r>
            <w:r>
              <w:rPr>
                <w:rFonts w:hint="eastAsia"/>
                <w:color w:val="auto"/>
                <w:sz w:val="28"/>
                <w:szCs w:val="28"/>
                <w:u w:val="single"/>
                <w:shd w:val="clear" w:color="auto" w:fill="FFFFFF"/>
              </w:rPr>
              <w:t xml:space="preserve"> </w:t>
            </w:r>
            <w:r>
              <w:rPr>
                <w:color w:val="auto"/>
                <w:sz w:val="28"/>
                <w:szCs w:val="28"/>
                <w:u w:val="single"/>
                <w:shd w:val="clear" w:color="auto" w:fill="FFFFFF"/>
              </w:rPr>
              <w:t xml:space="preserve">  </w:t>
            </w:r>
            <w:r>
              <w:rPr>
                <w:rFonts w:hint="eastAsia"/>
                <w:color w:val="auto"/>
                <w:sz w:val="28"/>
                <w:szCs w:val="28"/>
                <w:u w:val="single"/>
                <w:shd w:val="clear" w:color="auto" w:fill="FFFFFF"/>
                <w:lang w:val="en-US" w:eastAsia="zh-CN"/>
              </w:rPr>
              <w:t xml:space="preserve"> </w:t>
            </w:r>
            <w:r>
              <w:rPr>
                <w:color w:val="auto"/>
                <w:sz w:val="28"/>
                <w:szCs w:val="28"/>
                <w:u w:val="single"/>
                <w:shd w:val="clear" w:color="auto" w:fill="FFFFFF"/>
              </w:rPr>
              <w:t xml:space="preserve"> </w:t>
            </w:r>
            <w:r>
              <w:rPr>
                <w:rFonts w:hint="eastAsia"/>
                <w:color w:val="auto"/>
                <w:sz w:val="28"/>
                <w:szCs w:val="28"/>
                <w:u w:val="single"/>
                <w:shd w:val="clear" w:color="auto" w:fill="FFFFFF"/>
              </w:rPr>
              <w:t xml:space="preserve"> </w:t>
            </w:r>
            <w:r>
              <w:rPr>
                <w:rFonts w:hint="eastAsia"/>
                <w:color w:val="auto"/>
                <w:sz w:val="28"/>
                <w:szCs w:val="28"/>
                <w:shd w:val="clear" w:color="auto" w:fill="FFFFFF"/>
              </w:rPr>
              <w:t>日</w:t>
            </w:r>
          </w:p>
        </w:tc>
        <w:tc>
          <w:tcPr>
            <w:tcW w:w="4259" w:type="dxa"/>
          </w:tcPr>
          <w:p w14:paraId="524FC85C">
            <w:pPr>
              <w:keepNext w:val="0"/>
              <w:keepLines w:val="0"/>
              <w:pageBreakBefore w:val="0"/>
              <w:kinsoku/>
              <w:wordWrap/>
              <w:overflowPunct/>
              <w:topLinePunct w:val="0"/>
              <w:bidi w:val="0"/>
              <w:adjustRightInd/>
              <w:snapToGrid/>
              <w:spacing w:line="540" w:lineRule="exact"/>
              <w:ind w:right="0"/>
              <w:textAlignment w:val="auto"/>
              <w:rPr>
                <w:rFonts w:ascii="Calibri" w:hAnsi="Calibri" w:cs="Calibri"/>
                <w:color w:val="auto"/>
                <w:sz w:val="28"/>
                <w:szCs w:val="28"/>
                <w:shd w:val="clear" w:color="auto" w:fill="FFFFFF"/>
              </w:rPr>
            </w:pPr>
          </w:p>
          <w:p w14:paraId="4A6C9B0C">
            <w:pPr>
              <w:keepNext w:val="0"/>
              <w:keepLines w:val="0"/>
              <w:pageBreakBefore w:val="0"/>
              <w:kinsoku/>
              <w:wordWrap/>
              <w:overflowPunct/>
              <w:topLinePunct w:val="0"/>
              <w:bidi w:val="0"/>
              <w:adjustRightInd/>
              <w:snapToGrid/>
              <w:spacing w:line="540" w:lineRule="exact"/>
              <w:ind w:right="0"/>
              <w:textAlignment w:val="auto"/>
              <w:rPr>
                <w:rFonts w:ascii="Calibri" w:hAnsi="Calibri" w:cs="Calibri"/>
                <w:color w:val="auto"/>
                <w:sz w:val="28"/>
                <w:szCs w:val="28"/>
                <w:shd w:val="clear" w:color="auto" w:fill="FFFFFF"/>
              </w:rPr>
            </w:pPr>
            <w:r>
              <w:rPr>
                <w:rFonts w:ascii="Calibri" w:hAnsi="Calibri" w:cs="Calibri"/>
                <w:color w:val="auto"/>
                <w:sz w:val="28"/>
                <w:szCs w:val="28"/>
                <w:shd w:val="clear" w:color="auto" w:fill="FFFFFF"/>
              </w:rPr>
              <w:t>单位名称（章）：</w:t>
            </w:r>
          </w:p>
          <w:p w14:paraId="3D6F50EF">
            <w:pPr>
              <w:keepNext w:val="0"/>
              <w:keepLines w:val="0"/>
              <w:pageBreakBefore w:val="0"/>
              <w:kinsoku/>
              <w:wordWrap/>
              <w:overflowPunct/>
              <w:topLinePunct w:val="0"/>
              <w:bidi w:val="0"/>
              <w:adjustRightInd/>
              <w:snapToGrid/>
              <w:spacing w:line="540" w:lineRule="exact"/>
              <w:ind w:left="0" w:leftChars="0" w:right="0" w:firstLine="560" w:firstLineChars="200"/>
              <w:textAlignment w:val="auto"/>
              <w:rPr>
                <w:rFonts w:ascii="Calibri" w:hAnsi="Calibri" w:cs="Calibri"/>
                <w:color w:val="auto"/>
                <w:sz w:val="28"/>
                <w:szCs w:val="28"/>
                <w:shd w:val="clear" w:color="auto" w:fill="FFFFFF"/>
              </w:rPr>
            </w:pPr>
          </w:p>
          <w:p w14:paraId="1FE4CE28">
            <w:pPr>
              <w:keepNext w:val="0"/>
              <w:keepLines w:val="0"/>
              <w:pageBreakBefore w:val="0"/>
              <w:kinsoku/>
              <w:wordWrap/>
              <w:overflowPunct/>
              <w:topLinePunct w:val="0"/>
              <w:bidi w:val="0"/>
              <w:adjustRightInd/>
              <w:snapToGrid/>
              <w:spacing w:line="540" w:lineRule="exact"/>
              <w:ind w:right="0"/>
              <w:textAlignment w:val="auto"/>
              <w:rPr>
                <w:color w:val="auto"/>
                <w:sz w:val="28"/>
                <w:szCs w:val="28"/>
                <w:shd w:val="clear" w:color="auto" w:fill="FFFFFF"/>
              </w:rPr>
            </w:pPr>
            <w:r>
              <w:rPr>
                <w:rFonts w:ascii="Calibri" w:hAnsi="Calibri" w:cs="Calibri"/>
                <w:color w:val="auto"/>
                <w:sz w:val="28"/>
                <w:szCs w:val="28"/>
                <w:shd w:val="clear" w:color="auto" w:fill="FFFFFF"/>
              </w:rPr>
              <w:t>委托代理人：</w:t>
            </w:r>
          </w:p>
          <w:p w14:paraId="204D7840">
            <w:pPr>
              <w:keepNext w:val="0"/>
              <w:keepLines w:val="0"/>
              <w:pageBreakBefore w:val="0"/>
              <w:kinsoku/>
              <w:wordWrap/>
              <w:overflowPunct/>
              <w:topLinePunct w:val="0"/>
              <w:bidi w:val="0"/>
              <w:adjustRightInd/>
              <w:snapToGrid/>
              <w:spacing w:line="540" w:lineRule="exact"/>
              <w:ind w:right="0"/>
              <w:textAlignment w:val="auto"/>
              <w:rPr>
                <w:color w:val="auto"/>
                <w:sz w:val="28"/>
                <w:szCs w:val="28"/>
                <w:shd w:val="clear" w:color="auto" w:fill="FFFFFF"/>
              </w:rPr>
            </w:pPr>
            <w:r>
              <w:rPr>
                <w:color w:val="auto"/>
                <w:sz w:val="28"/>
                <w:szCs w:val="28"/>
                <w:u w:val="single"/>
                <w:shd w:val="clear" w:color="auto" w:fill="FFFFFF"/>
              </w:rPr>
              <w:t xml:space="preserve">   </w:t>
            </w:r>
            <w:r>
              <w:rPr>
                <w:rFonts w:hint="eastAsia"/>
                <w:color w:val="auto"/>
                <w:sz w:val="28"/>
                <w:szCs w:val="28"/>
                <w:u w:val="single"/>
                <w:shd w:val="clear" w:color="auto" w:fill="FFFFFF"/>
                <w:lang w:val="en-US" w:eastAsia="zh-CN"/>
              </w:rPr>
              <w:t xml:space="preserve"> </w:t>
            </w:r>
            <w:r>
              <w:rPr>
                <w:color w:val="auto"/>
                <w:sz w:val="28"/>
                <w:szCs w:val="28"/>
                <w:u w:val="single"/>
                <w:shd w:val="clear" w:color="auto" w:fill="FFFFFF"/>
              </w:rPr>
              <w:t xml:space="preserve"> </w:t>
            </w:r>
            <w:r>
              <w:rPr>
                <w:rFonts w:hint="eastAsia"/>
                <w:color w:val="auto"/>
                <w:sz w:val="28"/>
                <w:szCs w:val="28"/>
                <w:u w:val="single"/>
                <w:shd w:val="clear" w:color="auto" w:fill="FFFFFF"/>
                <w:lang w:val="en-US" w:eastAsia="zh-CN"/>
              </w:rPr>
              <w:t xml:space="preserve"> </w:t>
            </w:r>
            <w:r>
              <w:rPr>
                <w:color w:val="auto"/>
                <w:sz w:val="28"/>
                <w:szCs w:val="28"/>
                <w:u w:val="single"/>
                <w:shd w:val="clear" w:color="auto" w:fill="FFFFFF"/>
              </w:rPr>
              <w:t xml:space="preserve"> </w:t>
            </w:r>
            <w:r>
              <w:rPr>
                <w:rFonts w:hint="eastAsia"/>
                <w:color w:val="auto"/>
                <w:sz w:val="28"/>
                <w:szCs w:val="28"/>
                <w:u w:val="single"/>
                <w:shd w:val="clear" w:color="auto" w:fill="FFFFFF"/>
              </w:rPr>
              <w:t xml:space="preserve"> </w:t>
            </w:r>
            <w:r>
              <w:rPr>
                <w:rFonts w:hint="eastAsia"/>
                <w:color w:val="auto"/>
                <w:sz w:val="28"/>
                <w:szCs w:val="28"/>
                <w:shd w:val="clear" w:color="auto" w:fill="FFFFFF"/>
              </w:rPr>
              <w:t>年</w:t>
            </w:r>
            <w:r>
              <w:rPr>
                <w:rFonts w:hint="eastAsia"/>
                <w:color w:val="auto"/>
                <w:sz w:val="28"/>
                <w:szCs w:val="28"/>
                <w:u w:val="single"/>
                <w:shd w:val="clear" w:color="auto" w:fill="FFFFFF"/>
              </w:rPr>
              <w:t xml:space="preserve"> </w:t>
            </w:r>
            <w:r>
              <w:rPr>
                <w:color w:val="auto"/>
                <w:sz w:val="28"/>
                <w:szCs w:val="28"/>
                <w:u w:val="single"/>
                <w:shd w:val="clear" w:color="auto" w:fill="FFFFFF"/>
              </w:rPr>
              <w:t xml:space="preserve">  </w:t>
            </w:r>
            <w:r>
              <w:rPr>
                <w:rFonts w:hint="eastAsia"/>
                <w:color w:val="auto"/>
                <w:sz w:val="28"/>
                <w:szCs w:val="28"/>
                <w:u w:val="single"/>
                <w:shd w:val="clear" w:color="auto" w:fill="FFFFFF"/>
                <w:lang w:val="en-US" w:eastAsia="zh-CN"/>
              </w:rPr>
              <w:t xml:space="preserve"> </w:t>
            </w:r>
            <w:r>
              <w:rPr>
                <w:color w:val="auto"/>
                <w:sz w:val="28"/>
                <w:szCs w:val="28"/>
                <w:u w:val="single"/>
                <w:shd w:val="clear" w:color="auto" w:fill="FFFFFF"/>
              </w:rPr>
              <w:t xml:space="preserve">  </w:t>
            </w:r>
            <w:r>
              <w:rPr>
                <w:rFonts w:hint="eastAsia"/>
                <w:color w:val="auto"/>
                <w:sz w:val="28"/>
                <w:szCs w:val="28"/>
                <w:shd w:val="clear" w:color="auto" w:fill="FFFFFF"/>
              </w:rPr>
              <w:t>月</w:t>
            </w:r>
            <w:r>
              <w:rPr>
                <w:rFonts w:hint="eastAsia"/>
                <w:color w:val="auto"/>
                <w:sz w:val="28"/>
                <w:szCs w:val="28"/>
                <w:u w:val="single"/>
                <w:shd w:val="clear" w:color="auto" w:fill="FFFFFF"/>
              </w:rPr>
              <w:t xml:space="preserve"> </w:t>
            </w:r>
            <w:r>
              <w:rPr>
                <w:color w:val="auto"/>
                <w:sz w:val="28"/>
                <w:szCs w:val="28"/>
                <w:u w:val="single"/>
                <w:shd w:val="clear" w:color="auto" w:fill="FFFFFF"/>
              </w:rPr>
              <w:t xml:space="preserve">  </w:t>
            </w:r>
            <w:r>
              <w:rPr>
                <w:rFonts w:hint="eastAsia"/>
                <w:color w:val="auto"/>
                <w:sz w:val="28"/>
                <w:szCs w:val="28"/>
                <w:u w:val="single"/>
                <w:shd w:val="clear" w:color="auto" w:fill="FFFFFF"/>
                <w:lang w:val="en-US" w:eastAsia="zh-CN"/>
              </w:rPr>
              <w:t xml:space="preserve"> </w:t>
            </w:r>
            <w:r>
              <w:rPr>
                <w:color w:val="auto"/>
                <w:sz w:val="28"/>
                <w:szCs w:val="28"/>
                <w:u w:val="single"/>
                <w:shd w:val="clear" w:color="auto" w:fill="FFFFFF"/>
              </w:rPr>
              <w:t xml:space="preserve"> </w:t>
            </w:r>
            <w:r>
              <w:rPr>
                <w:rFonts w:hint="eastAsia"/>
                <w:color w:val="auto"/>
                <w:sz w:val="28"/>
                <w:szCs w:val="28"/>
                <w:u w:val="single"/>
                <w:shd w:val="clear" w:color="auto" w:fill="FFFFFF"/>
              </w:rPr>
              <w:t xml:space="preserve"> </w:t>
            </w:r>
            <w:r>
              <w:rPr>
                <w:rFonts w:hint="eastAsia"/>
                <w:color w:val="auto"/>
                <w:sz w:val="28"/>
                <w:szCs w:val="28"/>
                <w:shd w:val="clear" w:color="auto" w:fill="FFFFFF"/>
              </w:rPr>
              <w:t>日</w:t>
            </w:r>
          </w:p>
        </w:tc>
      </w:tr>
    </w:tbl>
    <w:p w14:paraId="1503002B">
      <w:pPr>
        <w:keepNext w:val="0"/>
        <w:keepLines w:val="0"/>
        <w:pageBreakBefore w:val="0"/>
        <w:widowControl w:val="0"/>
        <w:kinsoku/>
        <w:wordWrap/>
        <w:overflowPunct/>
        <w:topLinePunct w:val="0"/>
        <w:bidi w:val="0"/>
        <w:adjustRightInd/>
        <w:snapToGrid/>
        <w:spacing w:line="540" w:lineRule="exact"/>
        <w:ind w:right="0"/>
        <w:textAlignment w:val="auto"/>
        <w:rPr>
          <w:rFonts w:hint="eastAsia"/>
          <w:color w:val="auto"/>
          <w:sz w:val="28"/>
          <w:szCs w:val="28"/>
          <w:shd w:val="clear" w:color="auto" w:fill="FFFFFF"/>
          <w:lang w:val="en-US" w:eastAsia="zh-CN"/>
        </w:rPr>
      </w:pPr>
    </w:p>
    <w:p w14:paraId="6F479F72">
      <w:pPr>
        <w:keepNext w:val="0"/>
        <w:keepLines w:val="0"/>
        <w:pageBreakBefore w:val="0"/>
        <w:widowControl w:val="0"/>
        <w:kinsoku/>
        <w:wordWrap/>
        <w:overflowPunct/>
        <w:topLinePunct w:val="0"/>
        <w:bidi w:val="0"/>
        <w:adjustRightInd/>
        <w:snapToGrid/>
        <w:spacing w:line="540" w:lineRule="exact"/>
        <w:ind w:right="0"/>
        <w:textAlignment w:val="auto"/>
        <w:rPr>
          <w:rFonts w:hint="eastAsia"/>
          <w:color w:val="auto"/>
          <w:sz w:val="28"/>
          <w:szCs w:val="28"/>
          <w:shd w:val="clear" w:color="auto" w:fill="FFFFFF"/>
          <w:lang w:val="en-US" w:eastAsia="zh-CN"/>
        </w:rPr>
      </w:pPr>
    </w:p>
    <w:p w14:paraId="4F0C8C91">
      <w:pPr>
        <w:keepNext w:val="0"/>
        <w:keepLines w:val="0"/>
        <w:pageBreakBefore w:val="0"/>
        <w:widowControl w:val="0"/>
        <w:kinsoku/>
        <w:wordWrap/>
        <w:overflowPunct/>
        <w:topLinePunct w:val="0"/>
        <w:bidi w:val="0"/>
        <w:adjustRightInd/>
        <w:snapToGrid/>
        <w:spacing w:line="540" w:lineRule="exact"/>
        <w:ind w:right="0"/>
        <w:textAlignment w:val="auto"/>
        <w:rPr>
          <w:rFonts w:hint="eastAsia"/>
          <w:color w:val="auto"/>
          <w:sz w:val="28"/>
          <w:szCs w:val="28"/>
          <w:shd w:val="clear" w:color="auto" w:fill="FFFFFF"/>
          <w:lang w:val="en-US" w:eastAsia="zh-CN"/>
        </w:rPr>
      </w:pPr>
    </w:p>
    <w:p w14:paraId="3663CC1B">
      <w:pPr>
        <w:keepNext w:val="0"/>
        <w:keepLines w:val="0"/>
        <w:pageBreakBefore w:val="0"/>
        <w:widowControl w:val="0"/>
        <w:kinsoku/>
        <w:wordWrap/>
        <w:overflowPunct/>
        <w:topLinePunct w:val="0"/>
        <w:bidi w:val="0"/>
        <w:adjustRightInd/>
        <w:snapToGrid/>
        <w:spacing w:line="540" w:lineRule="exact"/>
        <w:ind w:right="0"/>
        <w:textAlignment w:val="auto"/>
        <w:rPr>
          <w:rFonts w:hint="eastAsia"/>
          <w:color w:val="auto"/>
          <w:sz w:val="28"/>
          <w:szCs w:val="28"/>
          <w:shd w:val="clear" w:color="auto" w:fill="FFFFFF"/>
          <w:lang w:val="en-US" w:eastAsia="zh-CN"/>
        </w:rPr>
      </w:pPr>
    </w:p>
    <w:p w14:paraId="66FE8FDB">
      <w:pPr>
        <w:keepNext w:val="0"/>
        <w:keepLines w:val="0"/>
        <w:pageBreakBefore w:val="0"/>
        <w:widowControl w:val="0"/>
        <w:kinsoku/>
        <w:wordWrap/>
        <w:overflowPunct/>
        <w:topLinePunct w:val="0"/>
        <w:bidi w:val="0"/>
        <w:adjustRightInd/>
        <w:snapToGrid/>
        <w:spacing w:line="540" w:lineRule="exact"/>
        <w:ind w:right="0"/>
        <w:textAlignment w:val="auto"/>
        <w:rPr>
          <w:rFonts w:hint="eastAsia"/>
          <w:color w:val="auto"/>
          <w:sz w:val="28"/>
          <w:szCs w:val="28"/>
          <w:shd w:val="clear" w:color="auto" w:fill="FFFFFF"/>
          <w:lang w:val="en-US" w:eastAsia="zh-CN"/>
        </w:rPr>
      </w:pPr>
    </w:p>
    <w:p w14:paraId="3668AF28">
      <w:pPr>
        <w:keepNext w:val="0"/>
        <w:keepLines w:val="0"/>
        <w:pageBreakBefore w:val="0"/>
        <w:widowControl w:val="0"/>
        <w:kinsoku/>
        <w:wordWrap/>
        <w:overflowPunct/>
        <w:topLinePunct w:val="0"/>
        <w:bidi w:val="0"/>
        <w:adjustRightInd/>
        <w:snapToGrid/>
        <w:spacing w:line="540" w:lineRule="exact"/>
        <w:ind w:right="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运维清单其中包含：</w:t>
      </w:r>
    </w:p>
    <w:tbl>
      <w:tblPr>
        <w:tblStyle w:val="22"/>
        <w:tblW w:w="94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5"/>
        <w:gridCol w:w="1157"/>
        <w:gridCol w:w="5171"/>
        <w:gridCol w:w="950"/>
        <w:gridCol w:w="1357"/>
      </w:tblGrid>
      <w:tr w14:paraId="4C91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9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76B2D">
            <w:pPr>
              <w:keepNext w:val="0"/>
              <w:keepLines w:val="0"/>
              <w:widowControl/>
              <w:suppressLineNumbers w:val="0"/>
              <w:jc w:val="center"/>
              <w:textAlignment w:val="center"/>
              <w:rPr>
                <w:rFonts w:hint="default" w:ascii="微软雅黑" w:hAnsi="微软雅黑" w:eastAsia="微软雅黑" w:cs="微软雅黑"/>
                <w:b/>
                <w:bCs/>
                <w:i w:val="0"/>
                <w:iCs w:val="0"/>
                <w:color w:val="000000"/>
                <w:sz w:val="18"/>
                <w:szCs w:val="18"/>
                <w:u w:val="none"/>
                <w:lang w:val="en-US"/>
              </w:rPr>
            </w:pPr>
            <w:r>
              <w:rPr>
                <w:rFonts w:hint="eastAsia" w:ascii="微软雅黑" w:hAnsi="微软雅黑" w:eastAsia="微软雅黑" w:cs="微软雅黑"/>
                <w:b/>
                <w:bCs/>
                <w:i w:val="0"/>
                <w:iCs w:val="0"/>
                <w:color w:val="000000"/>
                <w:kern w:val="0"/>
                <w:sz w:val="18"/>
                <w:szCs w:val="18"/>
                <w:u w:val="none"/>
                <w:lang w:val="en-US" w:eastAsia="zh-CN" w:bidi="ar"/>
              </w:rPr>
              <w:t>服务项目</w:t>
            </w:r>
          </w:p>
        </w:tc>
      </w:tr>
      <w:tr w14:paraId="5DA1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EF93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4178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服务项目</w:t>
            </w:r>
          </w:p>
        </w:tc>
        <w:tc>
          <w:tcPr>
            <w:tcW w:w="5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EA3E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内容描述</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F264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服务频次及价格</w:t>
            </w:r>
          </w:p>
        </w:tc>
      </w:tr>
      <w:tr w14:paraId="59BF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22C4B">
            <w:pPr>
              <w:jc w:val="center"/>
              <w:rPr>
                <w:rFonts w:hint="eastAsia" w:ascii="微软雅黑" w:hAnsi="微软雅黑" w:eastAsia="微软雅黑" w:cs="微软雅黑"/>
                <w:b/>
                <w:bCs/>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4EC4">
            <w:pPr>
              <w:jc w:val="center"/>
              <w:rPr>
                <w:rFonts w:hint="eastAsia" w:ascii="微软雅黑" w:hAnsi="微软雅黑" w:eastAsia="微软雅黑" w:cs="微软雅黑"/>
                <w:b/>
                <w:bCs/>
                <w:i w:val="0"/>
                <w:iCs w:val="0"/>
                <w:color w:val="000000"/>
                <w:sz w:val="18"/>
                <w:szCs w:val="18"/>
                <w:u w:val="none"/>
              </w:rPr>
            </w:pPr>
          </w:p>
        </w:tc>
        <w:tc>
          <w:tcPr>
            <w:tcW w:w="5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DDE4">
            <w:pPr>
              <w:jc w:val="center"/>
              <w:rPr>
                <w:rFonts w:hint="eastAsia" w:ascii="微软雅黑" w:hAnsi="微软雅黑" w:eastAsia="微软雅黑" w:cs="微软雅黑"/>
                <w:b/>
                <w:bCs/>
                <w:i w:val="0"/>
                <w:iCs w:val="0"/>
                <w:color w:val="000000"/>
                <w:sz w:val="18"/>
                <w:szCs w:val="18"/>
                <w:u w:val="none"/>
              </w:rPr>
            </w:pP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3D59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中型工业企业</w:t>
            </w:r>
          </w:p>
        </w:tc>
      </w:tr>
      <w:tr w14:paraId="7A91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FD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143C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系统集成维护</w:t>
            </w: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39F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查看系统模块是否显示正常，防止系统出现异常</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078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实时</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A90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/年</w:t>
            </w:r>
          </w:p>
        </w:tc>
      </w:tr>
      <w:tr w14:paraId="3A9C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8370">
            <w:pPr>
              <w:jc w:val="center"/>
              <w:rPr>
                <w:rFonts w:hint="eastAsia" w:ascii="微软雅黑" w:hAnsi="微软雅黑" w:eastAsia="微软雅黑" w:cs="微软雅黑"/>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A977">
            <w:pPr>
              <w:jc w:val="center"/>
              <w:rPr>
                <w:rFonts w:hint="eastAsia" w:ascii="微软雅黑" w:hAnsi="微软雅黑" w:eastAsia="微软雅黑" w:cs="微软雅黑"/>
                <w:i w:val="0"/>
                <w:iCs w:val="0"/>
                <w:color w:val="000000"/>
                <w:sz w:val="18"/>
                <w:szCs w:val="18"/>
                <w:u w:val="none"/>
              </w:rPr>
            </w:pP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D9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软件维护</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E48EE">
            <w:pPr>
              <w:jc w:val="center"/>
              <w:rPr>
                <w:rFonts w:hint="eastAsia" w:ascii="微软雅黑" w:hAnsi="微软雅黑" w:eastAsia="微软雅黑" w:cs="微软雅黑"/>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3F98">
            <w:pPr>
              <w:jc w:val="center"/>
              <w:rPr>
                <w:rFonts w:hint="eastAsia" w:ascii="微软雅黑" w:hAnsi="微软雅黑" w:eastAsia="微软雅黑" w:cs="微软雅黑"/>
                <w:i w:val="0"/>
                <w:iCs w:val="0"/>
                <w:color w:val="000000"/>
                <w:sz w:val="18"/>
                <w:szCs w:val="18"/>
                <w:u w:val="none"/>
              </w:rPr>
            </w:pPr>
          </w:p>
        </w:tc>
      </w:tr>
      <w:tr w14:paraId="293B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397E">
            <w:pPr>
              <w:jc w:val="center"/>
              <w:rPr>
                <w:rFonts w:hint="eastAsia" w:ascii="微软雅黑" w:hAnsi="微软雅黑" w:eastAsia="微软雅黑" w:cs="微软雅黑"/>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4E729">
            <w:pPr>
              <w:jc w:val="center"/>
              <w:rPr>
                <w:rFonts w:hint="eastAsia" w:ascii="微软雅黑" w:hAnsi="微软雅黑" w:eastAsia="微软雅黑" w:cs="微软雅黑"/>
                <w:i w:val="0"/>
                <w:iCs w:val="0"/>
                <w:color w:val="000000"/>
                <w:sz w:val="18"/>
                <w:szCs w:val="18"/>
                <w:u w:val="none"/>
              </w:rPr>
            </w:pP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94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软件升级</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46A7">
            <w:pPr>
              <w:jc w:val="center"/>
              <w:rPr>
                <w:rFonts w:hint="eastAsia" w:ascii="微软雅黑" w:hAnsi="微软雅黑" w:eastAsia="微软雅黑" w:cs="微软雅黑"/>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DC80">
            <w:pPr>
              <w:jc w:val="center"/>
              <w:rPr>
                <w:rFonts w:hint="eastAsia" w:ascii="微软雅黑" w:hAnsi="微软雅黑" w:eastAsia="微软雅黑" w:cs="微软雅黑"/>
                <w:i w:val="0"/>
                <w:iCs w:val="0"/>
                <w:color w:val="000000"/>
                <w:sz w:val="18"/>
                <w:szCs w:val="18"/>
                <w:u w:val="none"/>
              </w:rPr>
            </w:pPr>
          </w:p>
        </w:tc>
      </w:tr>
      <w:tr w14:paraId="6E58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BB9A">
            <w:pPr>
              <w:jc w:val="center"/>
              <w:rPr>
                <w:rFonts w:hint="eastAsia" w:ascii="微软雅黑" w:hAnsi="微软雅黑" w:eastAsia="微软雅黑" w:cs="微软雅黑"/>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DD319">
            <w:pPr>
              <w:jc w:val="center"/>
              <w:rPr>
                <w:rFonts w:hint="eastAsia" w:ascii="微软雅黑" w:hAnsi="微软雅黑" w:eastAsia="微软雅黑" w:cs="微软雅黑"/>
                <w:i w:val="0"/>
                <w:iCs w:val="0"/>
                <w:color w:val="000000"/>
                <w:sz w:val="18"/>
                <w:szCs w:val="18"/>
                <w:u w:val="none"/>
              </w:rPr>
            </w:pP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47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软件应急抢修</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BE0D">
            <w:pPr>
              <w:jc w:val="center"/>
              <w:rPr>
                <w:rFonts w:hint="eastAsia" w:ascii="微软雅黑" w:hAnsi="微软雅黑" w:eastAsia="微软雅黑" w:cs="微软雅黑"/>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7598">
            <w:pPr>
              <w:jc w:val="center"/>
              <w:rPr>
                <w:rFonts w:hint="eastAsia" w:ascii="微软雅黑" w:hAnsi="微软雅黑" w:eastAsia="微软雅黑" w:cs="微软雅黑"/>
                <w:i w:val="0"/>
                <w:iCs w:val="0"/>
                <w:color w:val="000000"/>
                <w:sz w:val="18"/>
                <w:szCs w:val="18"/>
                <w:u w:val="none"/>
              </w:rPr>
            </w:pPr>
          </w:p>
        </w:tc>
      </w:tr>
      <w:tr w14:paraId="4861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EF4E">
            <w:pPr>
              <w:jc w:val="center"/>
              <w:rPr>
                <w:rFonts w:hint="eastAsia" w:ascii="微软雅黑" w:hAnsi="微软雅黑" w:eastAsia="微软雅黑" w:cs="微软雅黑"/>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9F28">
            <w:pPr>
              <w:jc w:val="center"/>
              <w:rPr>
                <w:rFonts w:hint="eastAsia" w:ascii="微软雅黑" w:hAnsi="微软雅黑" w:eastAsia="微软雅黑" w:cs="微软雅黑"/>
                <w:i w:val="0"/>
                <w:iCs w:val="0"/>
                <w:color w:val="000000"/>
                <w:sz w:val="18"/>
                <w:szCs w:val="18"/>
                <w:u w:val="none"/>
              </w:rPr>
            </w:pP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8A2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数据库维护</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12F4">
            <w:pPr>
              <w:jc w:val="center"/>
              <w:rPr>
                <w:rFonts w:hint="eastAsia" w:ascii="微软雅黑" w:hAnsi="微软雅黑" w:eastAsia="微软雅黑" w:cs="微软雅黑"/>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38702">
            <w:pPr>
              <w:jc w:val="center"/>
              <w:rPr>
                <w:rFonts w:hint="eastAsia" w:ascii="微软雅黑" w:hAnsi="微软雅黑" w:eastAsia="微软雅黑" w:cs="微软雅黑"/>
                <w:i w:val="0"/>
                <w:iCs w:val="0"/>
                <w:color w:val="000000"/>
                <w:sz w:val="18"/>
                <w:szCs w:val="18"/>
                <w:u w:val="none"/>
              </w:rPr>
            </w:pPr>
          </w:p>
        </w:tc>
      </w:tr>
      <w:tr w14:paraId="695A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8D29">
            <w:pPr>
              <w:jc w:val="center"/>
              <w:rPr>
                <w:rFonts w:hint="eastAsia" w:ascii="微软雅黑" w:hAnsi="微软雅黑" w:eastAsia="微软雅黑" w:cs="微软雅黑"/>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D66D">
            <w:pPr>
              <w:jc w:val="center"/>
              <w:rPr>
                <w:rFonts w:hint="eastAsia" w:ascii="微软雅黑" w:hAnsi="微软雅黑" w:eastAsia="微软雅黑" w:cs="微软雅黑"/>
                <w:i w:val="0"/>
                <w:iCs w:val="0"/>
                <w:color w:val="000000"/>
                <w:sz w:val="18"/>
                <w:szCs w:val="18"/>
                <w:u w:val="none"/>
              </w:rPr>
            </w:pP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7B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网络环境优化</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82D5">
            <w:pPr>
              <w:jc w:val="center"/>
              <w:rPr>
                <w:rFonts w:hint="eastAsia" w:ascii="微软雅黑" w:hAnsi="微软雅黑" w:eastAsia="微软雅黑" w:cs="微软雅黑"/>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B44E">
            <w:pPr>
              <w:jc w:val="center"/>
              <w:rPr>
                <w:rFonts w:hint="eastAsia" w:ascii="微软雅黑" w:hAnsi="微软雅黑" w:eastAsia="微软雅黑" w:cs="微软雅黑"/>
                <w:i w:val="0"/>
                <w:iCs w:val="0"/>
                <w:color w:val="000000"/>
                <w:sz w:val="18"/>
                <w:szCs w:val="18"/>
                <w:u w:val="none"/>
              </w:rPr>
            </w:pPr>
          </w:p>
        </w:tc>
      </w:tr>
      <w:tr w14:paraId="7ACE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E331">
            <w:pPr>
              <w:jc w:val="center"/>
              <w:rPr>
                <w:rFonts w:hint="eastAsia" w:ascii="微软雅黑" w:hAnsi="微软雅黑" w:eastAsia="微软雅黑" w:cs="微软雅黑"/>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94C9">
            <w:pPr>
              <w:jc w:val="center"/>
              <w:rPr>
                <w:rFonts w:hint="eastAsia" w:ascii="微软雅黑" w:hAnsi="微软雅黑" w:eastAsia="微软雅黑" w:cs="微软雅黑"/>
                <w:i w:val="0"/>
                <w:iCs w:val="0"/>
                <w:color w:val="000000"/>
                <w:sz w:val="18"/>
                <w:szCs w:val="18"/>
                <w:u w:val="none"/>
              </w:rPr>
            </w:pP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99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故障处理及恢复，包括网络中断、系统设备故障或停电、图像丢失、设备状态异常报警</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F5CF4">
            <w:pPr>
              <w:jc w:val="center"/>
              <w:rPr>
                <w:rFonts w:hint="eastAsia" w:ascii="微软雅黑" w:hAnsi="微软雅黑" w:eastAsia="微软雅黑" w:cs="微软雅黑"/>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D8E2">
            <w:pPr>
              <w:jc w:val="center"/>
              <w:rPr>
                <w:rFonts w:hint="eastAsia" w:ascii="微软雅黑" w:hAnsi="微软雅黑" w:eastAsia="微软雅黑" w:cs="微软雅黑"/>
                <w:i w:val="0"/>
                <w:iCs w:val="0"/>
                <w:color w:val="000000"/>
                <w:sz w:val="18"/>
                <w:szCs w:val="18"/>
                <w:u w:val="none"/>
              </w:rPr>
            </w:pPr>
          </w:p>
        </w:tc>
      </w:tr>
      <w:tr w14:paraId="41BF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5EA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D9E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智能计重设备维护</w:t>
            </w: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55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传感器及仪表检查，包括防作弊参数、设备运行故障及异常等状态参数数据是否正常发送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98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每月一次</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D5F4">
            <w:pPr>
              <w:jc w:val="center"/>
              <w:rPr>
                <w:rFonts w:hint="eastAsia" w:ascii="微软雅黑" w:hAnsi="微软雅黑" w:eastAsia="微软雅黑" w:cs="微软雅黑"/>
                <w:i w:val="0"/>
                <w:iCs w:val="0"/>
                <w:color w:val="000000"/>
                <w:sz w:val="18"/>
                <w:szCs w:val="18"/>
                <w:u w:val="none"/>
              </w:rPr>
            </w:pPr>
          </w:p>
        </w:tc>
      </w:tr>
      <w:tr w14:paraId="4019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ACD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5AF6">
            <w:pPr>
              <w:jc w:val="center"/>
              <w:rPr>
                <w:rFonts w:hint="eastAsia" w:ascii="微软雅黑" w:hAnsi="微软雅黑" w:eastAsia="微软雅黑" w:cs="微软雅黑"/>
                <w:i w:val="0"/>
                <w:iCs w:val="0"/>
                <w:color w:val="000000"/>
                <w:sz w:val="18"/>
                <w:szCs w:val="18"/>
                <w:u w:val="none"/>
              </w:rPr>
            </w:pP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4DF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设备故障上门诊断及故障诊断报告提供</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BF4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每次故障诊断提供1份报告</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4F72">
            <w:pPr>
              <w:jc w:val="center"/>
              <w:rPr>
                <w:rFonts w:hint="eastAsia" w:ascii="微软雅黑" w:hAnsi="微软雅黑" w:eastAsia="微软雅黑" w:cs="微软雅黑"/>
                <w:i w:val="0"/>
                <w:iCs w:val="0"/>
                <w:color w:val="000000"/>
                <w:sz w:val="18"/>
                <w:szCs w:val="18"/>
                <w:u w:val="none"/>
              </w:rPr>
            </w:pPr>
          </w:p>
        </w:tc>
      </w:tr>
      <w:tr w14:paraId="4BE0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4AF3">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4</w:t>
            </w: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7875D">
            <w:pPr>
              <w:jc w:val="center"/>
              <w:rPr>
                <w:rFonts w:hint="eastAsia" w:ascii="微软雅黑" w:hAnsi="微软雅黑" w:eastAsia="微软雅黑" w:cs="微软雅黑"/>
                <w:i w:val="0"/>
                <w:iCs w:val="0"/>
                <w:color w:val="000000"/>
                <w:sz w:val="18"/>
                <w:szCs w:val="18"/>
                <w:u w:val="none"/>
              </w:rPr>
            </w:pPr>
          </w:p>
        </w:tc>
        <w:tc>
          <w:tcPr>
            <w:tcW w:w="5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761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查看智能计重设备仪表数据采集传输及控制系统信号是否正常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24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每月一次</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3D25">
            <w:pPr>
              <w:jc w:val="center"/>
              <w:rPr>
                <w:rFonts w:hint="eastAsia" w:ascii="微软雅黑" w:hAnsi="微软雅黑" w:eastAsia="微软雅黑" w:cs="微软雅黑"/>
                <w:i w:val="0"/>
                <w:iCs w:val="0"/>
                <w:color w:val="000000"/>
                <w:sz w:val="18"/>
                <w:szCs w:val="18"/>
                <w:u w:val="none"/>
              </w:rPr>
            </w:pPr>
          </w:p>
        </w:tc>
      </w:tr>
      <w:tr w14:paraId="7058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42C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E48B">
            <w:pPr>
              <w:jc w:val="center"/>
              <w:rPr>
                <w:rFonts w:hint="eastAsia" w:ascii="微软雅黑" w:hAnsi="微软雅黑" w:eastAsia="微软雅黑" w:cs="微软雅黑"/>
                <w:i w:val="0"/>
                <w:iCs w:val="0"/>
                <w:color w:val="000000"/>
                <w:sz w:val="18"/>
                <w:szCs w:val="18"/>
                <w:u w:val="none"/>
              </w:rPr>
            </w:pP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ED8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设备定期巡检，包括智能计重设备检定有效期，铅封是否完整等，并提醒客户按照国家有关规定定期进行周期性强制检定或校准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50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每月一次</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35FE">
            <w:pPr>
              <w:jc w:val="center"/>
              <w:rPr>
                <w:rFonts w:hint="eastAsia" w:ascii="微软雅黑" w:hAnsi="微软雅黑" w:eastAsia="微软雅黑" w:cs="微软雅黑"/>
                <w:i w:val="0"/>
                <w:iCs w:val="0"/>
                <w:color w:val="000000"/>
                <w:sz w:val="18"/>
                <w:szCs w:val="18"/>
                <w:u w:val="none"/>
              </w:rPr>
            </w:pPr>
          </w:p>
        </w:tc>
      </w:tr>
      <w:tr w14:paraId="4415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8CE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63C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耗材（打印纸）</w:t>
            </w:r>
          </w:p>
        </w:tc>
        <w:tc>
          <w:tcPr>
            <w:tcW w:w="5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4DC1">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9F2D">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一年</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46EF">
            <w:pPr>
              <w:jc w:val="center"/>
              <w:rPr>
                <w:rFonts w:hint="eastAsia" w:ascii="微软雅黑" w:hAnsi="微软雅黑" w:eastAsia="微软雅黑" w:cs="微软雅黑"/>
                <w:i w:val="0"/>
                <w:iCs w:val="0"/>
                <w:color w:val="000000"/>
                <w:sz w:val="18"/>
                <w:szCs w:val="18"/>
                <w:u w:val="none"/>
              </w:rPr>
            </w:pPr>
          </w:p>
        </w:tc>
      </w:tr>
      <w:tr w14:paraId="1356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9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60A1E">
            <w:pPr>
              <w:jc w:val="center"/>
              <w:rPr>
                <w:rFonts w:hint="default" w:ascii="微软雅黑" w:hAnsi="微软雅黑" w:eastAsia="微软雅黑" w:cs="微软雅黑"/>
                <w:i w:val="0"/>
                <w:iCs w:val="0"/>
                <w:color w:val="000000"/>
                <w:sz w:val="18"/>
                <w:szCs w:val="18"/>
                <w:u w:val="none"/>
                <w:lang w:val="en-US" w:eastAsia="zh-CN"/>
              </w:rPr>
            </w:pPr>
          </w:p>
        </w:tc>
      </w:tr>
    </w:tbl>
    <w:p w14:paraId="357BEEF5">
      <w:pPr>
        <w:keepNext w:val="0"/>
        <w:keepLines w:val="0"/>
        <w:pageBreakBefore w:val="0"/>
        <w:kinsoku/>
        <w:wordWrap/>
        <w:overflowPunct/>
        <w:topLinePunct w:val="0"/>
        <w:bidi w:val="0"/>
        <w:adjustRightInd/>
        <w:snapToGrid/>
        <w:spacing w:line="540" w:lineRule="exact"/>
        <w:ind w:right="0"/>
        <w:textAlignment w:val="auto"/>
        <w:rPr>
          <w:rFonts w:hint="eastAsia"/>
          <w:color w:val="auto"/>
          <w:sz w:val="28"/>
          <w:szCs w:val="28"/>
          <w:shd w:val="clear" w:color="auto" w:fill="FFFFFF"/>
          <w:lang w:val="en-US" w:eastAsia="zh-CN"/>
        </w:rPr>
      </w:pPr>
    </w:p>
    <w:p w14:paraId="5FEA345A">
      <w:pPr>
        <w:rPr>
          <w:b/>
          <w:color w:val="auto"/>
          <w:sz w:val="28"/>
        </w:rPr>
      </w:pPr>
    </w:p>
    <w:p w14:paraId="0F29775F">
      <w:pPr>
        <w:rPr>
          <w:b/>
          <w:color w:val="auto"/>
          <w:sz w:val="28"/>
        </w:rPr>
      </w:pPr>
    </w:p>
    <w:p w14:paraId="5E24C2CD">
      <w:pPr>
        <w:spacing w:line="420" w:lineRule="exact"/>
        <w:rPr>
          <w:rFonts w:hint="eastAsia" w:ascii="宋体" w:hAnsi="宋体" w:eastAsia="宋体"/>
          <w:b/>
          <w:bCs/>
          <w:color w:val="000000"/>
          <w:sz w:val="32"/>
          <w:szCs w:val="32"/>
          <w:lang w:val="en-US" w:eastAsia="zh-CN"/>
        </w:rPr>
      </w:pPr>
      <w:r>
        <w:rPr>
          <w:rFonts w:hint="eastAsia" w:ascii="宋体" w:hAnsi="宋体" w:eastAsia="宋体"/>
          <w:b/>
          <w:bCs/>
          <w:color w:val="000000"/>
          <w:sz w:val="32"/>
          <w:szCs w:val="32"/>
          <w:lang w:val="en-US" w:eastAsia="zh-CN"/>
        </w:rPr>
        <w:t>四、技术要求</w:t>
      </w:r>
    </w:p>
    <w:p w14:paraId="60332294">
      <w:pPr>
        <w:pStyle w:val="3"/>
        <w:widowControl/>
        <w:spacing w:before="0" w:beforeAutospacing="0" w:after="0" w:afterAutospacing="0" w:line="360" w:lineRule="auto"/>
        <w:jc w:val="center"/>
        <w:rPr>
          <w:rFonts w:hint="eastAsia" w:ascii="宋体" w:hAnsi="宋体" w:eastAsia="宋体" w:cs="宋体"/>
          <w:b/>
          <w:bCs w:val="0"/>
          <w:kern w:val="0"/>
          <w:sz w:val="36"/>
          <w:szCs w:val="36"/>
        </w:rPr>
      </w:pPr>
      <w:bookmarkStart w:id="0" w:name="_Toc4217"/>
    </w:p>
    <w:p w14:paraId="4838EA08">
      <w:pPr>
        <w:pStyle w:val="3"/>
        <w:widowControl/>
        <w:spacing w:before="0" w:beforeAutospacing="0" w:after="0" w:afterAutospacing="0" w:line="360" w:lineRule="auto"/>
        <w:jc w:val="center"/>
        <w:rPr>
          <w:rFonts w:hint="eastAsia" w:ascii="宋体" w:hAnsi="宋体" w:eastAsia="宋体" w:cs="宋体"/>
          <w:b/>
          <w:bCs w:val="0"/>
          <w:kern w:val="0"/>
          <w:sz w:val="36"/>
          <w:szCs w:val="36"/>
        </w:rPr>
      </w:pPr>
      <w:r>
        <w:rPr>
          <w:rFonts w:hint="eastAsia" w:ascii="宋体" w:hAnsi="宋体" w:eastAsia="宋体" w:cs="宋体"/>
          <w:b/>
          <w:bCs w:val="0"/>
          <w:kern w:val="0"/>
          <w:sz w:val="36"/>
          <w:szCs w:val="36"/>
        </w:rPr>
        <w:t>危险废物物联网系统运维技术</w:t>
      </w:r>
      <w:bookmarkEnd w:id="0"/>
      <w:r>
        <w:rPr>
          <w:rFonts w:hint="eastAsia" w:ascii="宋体" w:hAnsi="宋体" w:eastAsia="宋体" w:cs="宋体"/>
          <w:b/>
          <w:bCs w:val="0"/>
          <w:kern w:val="0"/>
          <w:sz w:val="36"/>
          <w:szCs w:val="36"/>
        </w:rPr>
        <w:t>要求</w:t>
      </w:r>
    </w:p>
    <w:p w14:paraId="2AA0C1DF">
      <w:pPr>
        <w:pStyle w:val="3"/>
        <w:widowControl/>
        <w:spacing w:before="0" w:beforeAutospacing="0" w:after="0" w:afterAutospacing="0" w:line="360" w:lineRule="auto"/>
        <w:jc w:val="left"/>
        <w:rPr>
          <w:rFonts w:hint="eastAsia" w:ascii="宋体" w:hAnsi="宋体" w:eastAsia="宋体" w:cs="宋体"/>
          <w:b w:val="0"/>
          <w:bCs/>
          <w:kern w:val="2"/>
          <w:sz w:val="21"/>
          <w:szCs w:val="21"/>
        </w:rPr>
      </w:pPr>
      <w:bookmarkStart w:id="1" w:name="_Toc132633082"/>
      <w:bookmarkEnd w:id="1"/>
      <w:r>
        <w:rPr>
          <w:rFonts w:hint="eastAsia" w:ascii="宋体" w:hAnsi="宋体" w:eastAsia="宋体" w:cs="宋体"/>
          <w:b w:val="0"/>
          <w:bCs/>
          <w:kern w:val="2"/>
          <w:sz w:val="21"/>
          <w:szCs w:val="21"/>
        </w:rPr>
        <w:t xml:space="preserve"> </w:t>
      </w:r>
    </w:p>
    <w:p w14:paraId="71FF4EF4">
      <w:pPr>
        <w:pStyle w:val="3"/>
        <w:widowControl/>
        <w:spacing w:before="0" w:beforeAutospacing="0" w:after="0" w:afterAutospacing="0" w:line="360" w:lineRule="auto"/>
        <w:jc w:val="left"/>
        <w:rPr>
          <w:rFonts w:hint="eastAsia" w:ascii="宋体" w:hAnsi="宋体" w:eastAsia="宋体" w:cs="宋体"/>
          <w:b/>
          <w:bCs w:val="0"/>
          <w:kern w:val="2"/>
          <w:sz w:val="28"/>
          <w:szCs w:val="28"/>
        </w:rPr>
      </w:pPr>
      <w:r>
        <w:rPr>
          <w:rFonts w:hint="eastAsia" w:ascii="宋体" w:hAnsi="宋体" w:eastAsia="宋体" w:cs="宋体"/>
          <w:b/>
          <w:bCs w:val="0"/>
          <w:kern w:val="2"/>
          <w:sz w:val="28"/>
          <w:szCs w:val="28"/>
        </w:rPr>
        <w:t>一、概述</w:t>
      </w:r>
    </w:p>
    <w:p w14:paraId="62CAE932">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 xml:space="preserve"> 本规范书适用于万基发电、一铝（一炭、板锭、铸轧共用）、二铝、二炭、石墨、铝加工、铝钛合金、棒材厂八家单位危险废物物联网系统运维服务项目，包括工作范围、技术要求及质量标准。</w:t>
      </w:r>
    </w:p>
    <w:p w14:paraId="186F7DE6">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本技术要求提出了最低限度的技术要求，并未规定所有的技术要求和适用的标准，投标方应提供一套满足本规范书和所列标准要求的高质量服务。对国家有关安全等强制性标准，必须一一满足其要求。</w:t>
      </w:r>
    </w:p>
    <w:p w14:paraId="19563A83">
      <w:pPr>
        <w:pStyle w:val="3"/>
        <w:widowControl/>
        <w:spacing w:before="0" w:beforeAutospacing="0" w:after="0" w:afterAutospacing="0" w:line="360" w:lineRule="auto"/>
        <w:jc w:val="left"/>
        <w:rPr>
          <w:rFonts w:hint="eastAsia" w:ascii="宋体" w:hAnsi="宋体" w:eastAsia="宋体" w:cs="宋体"/>
          <w:b/>
          <w:bCs w:val="0"/>
          <w:kern w:val="2"/>
          <w:sz w:val="28"/>
          <w:szCs w:val="28"/>
        </w:rPr>
      </w:pPr>
      <w:bookmarkStart w:id="2" w:name="_Toc6702460"/>
      <w:r>
        <w:rPr>
          <w:rFonts w:hint="eastAsia" w:ascii="宋体" w:hAnsi="宋体" w:eastAsia="宋体" w:cs="宋体"/>
          <w:b/>
          <w:bCs w:val="0"/>
          <w:kern w:val="2"/>
          <w:sz w:val="28"/>
          <w:szCs w:val="28"/>
        </w:rPr>
        <w:t>二、</w:t>
      </w:r>
      <w:bookmarkEnd w:id="2"/>
      <w:r>
        <w:rPr>
          <w:rFonts w:hint="eastAsia" w:ascii="宋体" w:hAnsi="宋体" w:eastAsia="宋体" w:cs="宋体"/>
          <w:b/>
          <w:bCs w:val="0"/>
          <w:kern w:val="2"/>
          <w:sz w:val="28"/>
          <w:szCs w:val="28"/>
        </w:rPr>
        <w:t xml:space="preserve">服务范围 </w:t>
      </w:r>
    </w:p>
    <w:p w14:paraId="400A21F1">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bookmarkStart w:id="3" w:name="_Toc77174074"/>
      <w:r>
        <w:rPr>
          <w:rFonts w:hint="eastAsia" w:ascii="宋体" w:hAnsi="宋体" w:eastAsia="宋体" w:cs="宋体"/>
          <w:kern w:val="2"/>
          <w:sz w:val="28"/>
          <w:szCs w:val="28"/>
          <w:vertAlign w:val="baseline"/>
          <w:lang w:val="en-US" w:eastAsia="zh-CN" w:bidi="ar"/>
        </w:rPr>
        <w:t>对</w:t>
      </w:r>
      <w:bookmarkEnd w:id="3"/>
      <w:r>
        <w:rPr>
          <w:rFonts w:hint="eastAsia" w:ascii="宋体" w:hAnsi="宋体" w:eastAsia="宋体" w:cs="宋体"/>
          <w:kern w:val="2"/>
          <w:sz w:val="28"/>
          <w:szCs w:val="28"/>
          <w:vertAlign w:val="baseline"/>
          <w:lang w:val="en-US" w:eastAsia="zh-CN" w:bidi="ar"/>
        </w:rPr>
        <w:t>危险废物物联网系统软件进行运维，包括现有地磅、标签打印机、出入库流程、APP软件系统升级更新，实现危险废物物联网系统应能实现危险废物产生、收集、贮存、转移、处置等全过程全周期信息化管理，有效防控环境风险。使用app连接现有地磅称重、危废标签打印机（热敏200mm</w:t>
      </w:r>
      <w:r>
        <w:rPr>
          <w:rFonts w:hint="default" w:ascii="Arial" w:hAnsi="Arial" w:eastAsia="宋体" w:cs="Arial"/>
          <w:kern w:val="2"/>
          <w:sz w:val="28"/>
          <w:szCs w:val="28"/>
          <w:vertAlign w:val="baseline"/>
          <w:lang w:val="en-US" w:eastAsia="zh-CN" w:bidi="ar"/>
        </w:rPr>
        <w:t>×</w:t>
      </w:r>
      <w:r>
        <w:rPr>
          <w:rFonts w:hint="eastAsia" w:ascii="宋体" w:hAnsi="宋体" w:eastAsia="宋体" w:cs="宋体"/>
          <w:kern w:val="2"/>
          <w:sz w:val="28"/>
          <w:szCs w:val="28"/>
          <w:vertAlign w:val="baseline"/>
          <w:lang w:val="en-US" w:eastAsia="zh-CN" w:bidi="ar"/>
        </w:rPr>
        <w:t>200mm）以及维护系统正常使用，协助年报、危废管理计划、转移计划填报，配合处置企业根据国家法律法规要求联单申请以及出库等业务流程办理。</w:t>
      </w:r>
    </w:p>
    <w:p w14:paraId="26D240FF">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 xml:space="preserve"> 中标运维单位必须在中标公示后3日内调试厂区设备并对接“全国危险废物全过程环境管理信息系统”，不得影响甲方危废转移手续办理。应满足国家最新标准，打印标签时可以实时自动获取数字识别码，危险废物的重量信息、产生日期等完成打印。</w:t>
      </w:r>
    </w:p>
    <w:p w14:paraId="493CC532">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r>
        <w:rPr>
          <w:rFonts w:hint="eastAsia" w:ascii="宋体" w:hAnsi="宋体" w:eastAsia="宋体" w:cs="宋体"/>
          <w:b/>
          <w:bCs/>
          <w:kern w:val="2"/>
          <w:sz w:val="28"/>
          <w:szCs w:val="28"/>
          <w:vertAlign w:val="baseline"/>
          <w:lang w:val="en-US" w:eastAsia="zh-CN" w:bidi="ar"/>
        </w:rPr>
        <w:t>三、现有设备清单</w:t>
      </w:r>
    </w:p>
    <w:tbl>
      <w:tblPr>
        <w:tblStyle w:val="22"/>
        <w:tblW w:w="89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19"/>
        <w:gridCol w:w="1829"/>
        <w:gridCol w:w="1596"/>
        <w:gridCol w:w="656"/>
        <w:gridCol w:w="821"/>
        <w:gridCol w:w="3325"/>
      </w:tblGrid>
      <w:tr w14:paraId="712D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7" w:hRule="atLeast"/>
        </w:trPr>
        <w:tc>
          <w:tcPr>
            <w:tcW w:w="719" w:type="dxa"/>
            <w:tcBorders>
              <w:top w:val="single" w:color="auto" w:sz="4" w:space="0"/>
              <w:left w:val="single" w:color="auto" w:sz="4" w:space="0"/>
              <w:bottom w:val="single" w:color="auto" w:sz="4" w:space="0"/>
              <w:right w:val="single" w:color="auto" w:sz="4" w:space="0"/>
            </w:tcBorders>
            <w:shd w:val="clear"/>
            <w:noWrap/>
            <w:vAlign w:val="center"/>
          </w:tcPr>
          <w:p w14:paraId="2F8D901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序号</w:t>
            </w:r>
          </w:p>
        </w:tc>
        <w:tc>
          <w:tcPr>
            <w:tcW w:w="1829" w:type="dxa"/>
            <w:tcBorders>
              <w:top w:val="single" w:color="auto" w:sz="4" w:space="0"/>
              <w:left w:val="nil"/>
              <w:bottom w:val="single" w:color="auto" w:sz="4" w:space="0"/>
              <w:right w:val="single" w:color="auto" w:sz="4" w:space="0"/>
            </w:tcBorders>
            <w:shd w:val="clear"/>
            <w:vAlign w:val="center"/>
          </w:tcPr>
          <w:p w14:paraId="49F6858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名  称</w:t>
            </w:r>
          </w:p>
        </w:tc>
        <w:tc>
          <w:tcPr>
            <w:tcW w:w="1596" w:type="dxa"/>
            <w:tcBorders>
              <w:top w:val="single" w:color="auto" w:sz="4" w:space="0"/>
              <w:left w:val="nil"/>
              <w:bottom w:val="single" w:color="auto" w:sz="4" w:space="0"/>
              <w:right w:val="single" w:color="auto" w:sz="4" w:space="0"/>
            </w:tcBorders>
            <w:shd w:val="clear"/>
            <w:noWrap/>
            <w:vAlign w:val="center"/>
          </w:tcPr>
          <w:p w14:paraId="167EC25F">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规  格</w:t>
            </w:r>
          </w:p>
        </w:tc>
        <w:tc>
          <w:tcPr>
            <w:tcW w:w="656" w:type="dxa"/>
            <w:tcBorders>
              <w:top w:val="single" w:color="auto" w:sz="4" w:space="0"/>
              <w:left w:val="nil"/>
              <w:bottom w:val="single" w:color="auto" w:sz="4" w:space="0"/>
              <w:right w:val="single" w:color="auto" w:sz="4" w:space="0"/>
            </w:tcBorders>
            <w:shd w:val="clear"/>
            <w:vAlign w:val="center"/>
          </w:tcPr>
          <w:p w14:paraId="7FBD8F4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单位</w:t>
            </w:r>
          </w:p>
        </w:tc>
        <w:tc>
          <w:tcPr>
            <w:tcW w:w="821" w:type="dxa"/>
            <w:tcBorders>
              <w:top w:val="single" w:color="auto" w:sz="4" w:space="0"/>
              <w:left w:val="nil"/>
              <w:bottom w:val="single" w:color="auto" w:sz="4" w:space="0"/>
              <w:right w:val="single" w:color="auto" w:sz="4" w:space="0"/>
            </w:tcBorders>
            <w:shd w:val="clear"/>
            <w:vAlign w:val="center"/>
          </w:tcPr>
          <w:p w14:paraId="4CC0253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数量</w:t>
            </w:r>
          </w:p>
        </w:tc>
        <w:tc>
          <w:tcPr>
            <w:tcW w:w="3325" w:type="dxa"/>
            <w:tcBorders>
              <w:top w:val="single" w:color="auto" w:sz="4" w:space="0"/>
              <w:left w:val="nil"/>
              <w:bottom w:val="single" w:color="auto" w:sz="4" w:space="0"/>
              <w:right w:val="single" w:color="auto" w:sz="4" w:space="0"/>
            </w:tcBorders>
            <w:shd w:val="clear"/>
            <w:vAlign w:val="center"/>
          </w:tcPr>
          <w:p w14:paraId="1D0C78B1">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参数要求</w:t>
            </w:r>
          </w:p>
        </w:tc>
      </w:tr>
      <w:tr w14:paraId="6FE6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719" w:type="dxa"/>
            <w:tcBorders>
              <w:top w:val="single" w:color="auto" w:sz="4" w:space="0"/>
              <w:left w:val="single" w:color="auto" w:sz="4" w:space="0"/>
              <w:bottom w:val="single" w:color="auto" w:sz="4" w:space="0"/>
              <w:right w:val="single" w:color="auto" w:sz="4" w:space="0"/>
            </w:tcBorders>
            <w:shd w:val="clear"/>
            <w:noWrap/>
            <w:vAlign w:val="center"/>
          </w:tcPr>
          <w:p w14:paraId="7E51DB3F">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1829" w:type="dxa"/>
            <w:tcBorders>
              <w:top w:val="single" w:color="auto" w:sz="4" w:space="0"/>
              <w:left w:val="nil"/>
              <w:bottom w:val="single" w:color="auto" w:sz="4" w:space="0"/>
              <w:right w:val="single" w:color="auto" w:sz="4" w:space="0"/>
            </w:tcBorders>
            <w:shd w:val="clear"/>
            <w:vAlign w:val="center"/>
          </w:tcPr>
          <w:p w14:paraId="1C3C15B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手持终端固废</w:t>
            </w:r>
          </w:p>
          <w:p w14:paraId="6C047B47">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APP（安卓）</w:t>
            </w:r>
          </w:p>
        </w:tc>
        <w:tc>
          <w:tcPr>
            <w:tcW w:w="1596" w:type="dxa"/>
            <w:tcBorders>
              <w:top w:val="single" w:color="auto" w:sz="4" w:space="0"/>
              <w:left w:val="nil"/>
              <w:bottom w:val="single" w:color="auto" w:sz="4" w:space="0"/>
              <w:right w:val="single" w:color="auto" w:sz="4" w:space="0"/>
            </w:tcBorders>
            <w:shd w:val="clear"/>
            <w:noWrap/>
            <w:vAlign w:val="center"/>
          </w:tcPr>
          <w:p w14:paraId="6AAEA315">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w:t>
            </w:r>
          </w:p>
        </w:tc>
        <w:tc>
          <w:tcPr>
            <w:tcW w:w="656" w:type="dxa"/>
            <w:tcBorders>
              <w:top w:val="single" w:color="auto" w:sz="4" w:space="0"/>
              <w:left w:val="nil"/>
              <w:bottom w:val="single" w:color="auto" w:sz="4" w:space="0"/>
              <w:right w:val="single" w:color="auto" w:sz="4" w:space="0"/>
            </w:tcBorders>
            <w:shd w:val="clear"/>
            <w:vAlign w:val="center"/>
          </w:tcPr>
          <w:p w14:paraId="39BECCB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套</w:t>
            </w:r>
          </w:p>
        </w:tc>
        <w:tc>
          <w:tcPr>
            <w:tcW w:w="821" w:type="dxa"/>
            <w:tcBorders>
              <w:top w:val="single" w:color="auto" w:sz="4" w:space="0"/>
              <w:left w:val="nil"/>
              <w:bottom w:val="single" w:color="auto" w:sz="4" w:space="0"/>
              <w:right w:val="single" w:color="auto" w:sz="4" w:space="0"/>
            </w:tcBorders>
            <w:shd w:val="clear"/>
            <w:vAlign w:val="center"/>
          </w:tcPr>
          <w:p w14:paraId="12A5197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3325" w:type="dxa"/>
            <w:tcBorders>
              <w:top w:val="single" w:color="auto" w:sz="4" w:space="0"/>
              <w:left w:val="nil"/>
              <w:bottom w:val="single" w:color="auto" w:sz="4" w:space="0"/>
              <w:right w:val="single" w:color="auto" w:sz="4" w:space="0"/>
            </w:tcBorders>
            <w:shd w:val="clear"/>
            <w:vAlign w:val="center"/>
          </w:tcPr>
          <w:p w14:paraId="5D339176">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与危险废物物联网平台系统设备相兼容，实现危险废物标签预打印、历史查询、自动采集重量信息、出入库自动产生联单的危险废物全流程信息化管理。</w:t>
            </w:r>
          </w:p>
        </w:tc>
      </w:tr>
      <w:tr w14:paraId="14CC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19" w:type="dxa"/>
            <w:tcBorders>
              <w:top w:val="single" w:color="auto" w:sz="4" w:space="0"/>
              <w:left w:val="single" w:color="auto" w:sz="4" w:space="0"/>
              <w:bottom w:val="single" w:color="auto" w:sz="4" w:space="0"/>
              <w:right w:val="single" w:color="auto" w:sz="4" w:space="0"/>
            </w:tcBorders>
            <w:shd w:val="clear"/>
            <w:noWrap/>
            <w:vAlign w:val="center"/>
          </w:tcPr>
          <w:p w14:paraId="0A4C1C5D">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1829" w:type="dxa"/>
            <w:tcBorders>
              <w:top w:val="single" w:color="auto" w:sz="4" w:space="0"/>
              <w:left w:val="nil"/>
              <w:bottom w:val="single" w:color="auto" w:sz="4" w:space="0"/>
              <w:right w:val="single" w:color="auto" w:sz="4" w:space="0"/>
            </w:tcBorders>
            <w:shd w:val="clear"/>
            <w:vAlign w:val="center"/>
          </w:tcPr>
          <w:p w14:paraId="61CECCC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危废标签打印系统</w:t>
            </w:r>
          </w:p>
        </w:tc>
        <w:tc>
          <w:tcPr>
            <w:tcW w:w="1596" w:type="dxa"/>
            <w:tcBorders>
              <w:top w:val="single" w:color="auto" w:sz="4" w:space="0"/>
              <w:left w:val="nil"/>
              <w:bottom w:val="single" w:color="auto" w:sz="4" w:space="0"/>
              <w:right w:val="single" w:color="auto" w:sz="4" w:space="0"/>
            </w:tcBorders>
            <w:shd w:val="clear"/>
            <w:noWrap/>
            <w:vAlign w:val="center"/>
          </w:tcPr>
          <w:p w14:paraId="05496F0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最大打印宽度200mm，热敏，使用寿命最大使用标签打印长度30km</w:t>
            </w:r>
          </w:p>
        </w:tc>
        <w:tc>
          <w:tcPr>
            <w:tcW w:w="656" w:type="dxa"/>
            <w:tcBorders>
              <w:top w:val="single" w:color="auto" w:sz="4" w:space="0"/>
              <w:left w:val="nil"/>
              <w:bottom w:val="single" w:color="auto" w:sz="4" w:space="0"/>
              <w:right w:val="single" w:color="auto" w:sz="4" w:space="0"/>
            </w:tcBorders>
            <w:shd w:val="clear"/>
            <w:vAlign w:val="center"/>
          </w:tcPr>
          <w:p w14:paraId="35B0EF9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台</w:t>
            </w:r>
          </w:p>
        </w:tc>
        <w:tc>
          <w:tcPr>
            <w:tcW w:w="821" w:type="dxa"/>
            <w:tcBorders>
              <w:top w:val="single" w:color="auto" w:sz="4" w:space="0"/>
              <w:left w:val="nil"/>
              <w:bottom w:val="single" w:color="auto" w:sz="4" w:space="0"/>
              <w:right w:val="single" w:color="auto" w:sz="4" w:space="0"/>
            </w:tcBorders>
            <w:shd w:val="clear"/>
            <w:vAlign w:val="center"/>
          </w:tcPr>
          <w:p w14:paraId="4EEB6078">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3325" w:type="dxa"/>
            <w:tcBorders>
              <w:top w:val="single" w:color="auto" w:sz="4" w:space="0"/>
              <w:left w:val="nil"/>
              <w:bottom w:val="single" w:color="auto" w:sz="4" w:space="0"/>
              <w:right w:val="single" w:color="auto" w:sz="4" w:space="0"/>
            </w:tcBorders>
            <w:shd w:val="clear"/>
            <w:vAlign w:val="center"/>
          </w:tcPr>
          <w:p w14:paraId="16ED14D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最新版危废标签打印，符合《危险废物识别标志设置技术规范》（HJ1276-2022）</w:t>
            </w:r>
          </w:p>
        </w:tc>
      </w:tr>
      <w:tr w14:paraId="65AD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19" w:type="dxa"/>
            <w:tcBorders>
              <w:top w:val="single" w:color="auto" w:sz="4" w:space="0"/>
              <w:left w:val="single" w:color="auto" w:sz="4" w:space="0"/>
              <w:bottom w:val="single" w:color="auto" w:sz="4" w:space="0"/>
              <w:right w:val="single" w:color="auto" w:sz="4" w:space="0"/>
            </w:tcBorders>
            <w:shd w:val="clear"/>
            <w:noWrap/>
            <w:vAlign w:val="center"/>
          </w:tcPr>
          <w:p w14:paraId="7391A50F">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1829" w:type="dxa"/>
            <w:tcBorders>
              <w:top w:val="single" w:color="auto" w:sz="4" w:space="0"/>
              <w:left w:val="nil"/>
              <w:bottom w:val="single" w:color="auto" w:sz="4" w:space="0"/>
              <w:right w:val="single" w:color="auto" w:sz="4" w:space="0"/>
            </w:tcBorders>
            <w:shd w:val="clear"/>
            <w:vAlign w:val="center"/>
          </w:tcPr>
          <w:p w14:paraId="534B179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标签打印纸</w:t>
            </w:r>
          </w:p>
        </w:tc>
        <w:tc>
          <w:tcPr>
            <w:tcW w:w="1596" w:type="dxa"/>
            <w:tcBorders>
              <w:top w:val="single" w:color="auto" w:sz="4" w:space="0"/>
              <w:left w:val="nil"/>
              <w:bottom w:val="single" w:color="auto" w:sz="4" w:space="0"/>
              <w:right w:val="single" w:color="auto" w:sz="4" w:space="0"/>
            </w:tcBorders>
            <w:shd w:val="clear"/>
            <w:noWrap/>
            <w:vAlign w:val="center"/>
          </w:tcPr>
          <w:p w14:paraId="6726781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200mm×200mm</w:t>
            </w:r>
          </w:p>
        </w:tc>
        <w:tc>
          <w:tcPr>
            <w:tcW w:w="656" w:type="dxa"/>
            <w:tcBorders>
              <w:top w:val="single" w:color="auto" w:sz="4" w:space="0"/>
              <w:left w:val="nil"/>
              <w:bottom w:val="single" w:color="auto" w:sz="4" w:space="0"/>
              <w:right w:val="single" w:color="auto" w:sz="4" w:space="0"/>
            </w:tcBorders>
            <w:shd w:val="clear"/>
            <w:vAlign w:val="center"/>
          </w:tcPr>
          <w:p w14:paraId="3BF1710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卷</w:t>
            </w:r>
          </w:p>
        </w:tc>
        <w:tc>
          <w:tcPr>
            <w:tcW w:w="821" w:type="dxa"/>
            <w:tcBorders>
              <w:top w:val="single" w:color="auto" w:sz="4" w:space="0"/>
              <w:left w:val="nil"/>
              <w:bottom w:val="single" w:color="auto" w:sz="4" w:space="0"/>
              <w:right w:val="single" w:color="auto" w:sz="4" w:space="0"/>
            </w:tcBorders>
            <w:shd w:val="clear"/>
            <w:vAlign w:val="center"/>
          </w:tcPr>
          <w:p w14:paraId="79B8EFA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530</w:t>
            </w:r>
          </w:p>
        </w:tc>
        <w:tc>
          <w:tcPr>
            <w:tcW w:w="3325" w:type="dxa"/>
            <w:tcBorders>
              <w:top w:val="single" w:color="auto" w:sz="4" w:space="0"/>
              <w:left w:val="nil"/>
              <w:bottom w:val="single" w:color="auto" w:sz="4" w:space="0"/>
              <w:right w:val="single" w:color="auto" w:sz="4" w:space="0"/>
            </w:tcBorders>
            <w:shd w:val="clear"/>
            <w:vAlign w:val="center"/>
          </w:tcPr>
          <w:p w14:paraId="13F9183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满足危险废物物联网系统使用的热敏标签打印纸200张/卷</w:t>
            </w:r>
          </w:p>
          <w:p w14:paraId="28759808">
            <w:pPr>
              <w:pStyle w:val="18"/>
              <w:keepNext w:val="0"/>
              <w:keepLines w:val="0"/>
              <w:widowControl w:val="0"/>
              <w:suppressLineNumbers w:val="0"/>
              <w:spacing w:before="0" w:beforeAutospacing="1" w:after="120" w:afterAutospacing="0" w:line="312" w:lineRule="auto"/>
              <w:ind w:left="0" w:leftChars="0" w:right="0" w:firstLine="0" w:firstLineChars="0"/>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其中一铝（一炭、板锭、铸轧共用）165卷、二铝120卷、二炭15卷、石墨10卷、铝加工20卷、铝钛合金100卷、棒材厂100卷</w:t>
            </w:r>
          </w:p>
        </w:tc>
      </w:tr>
      <w:tr w14:paraId="3079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19" w:type="dxa"/>
            <w:tcBorders>
              <w:top w:val="single" w:color="auto" w:sz="4" w:space="0"/>
              <w:left w:val="single" w:color="auto" w:sz="4" w:space="0"/>
              <w:bottom w:val="single" w:color="auto" w:sz="4" w:space="0"/>
              <w:right w:val="single" w:color="auto" w:sz="4" w:space="0"/>
            </w:tcBorders>
            <w:shd w:val="clear"/>
            <w:noWrap/>
            <w:vAlign w:val="center"/>
          </w:tcPr>
          <w:p w14:paraId="004D90B3">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1829" w:type="dxa"/>
            <w:tcBorders>
              <w:top w:val="single" w:color="auto" w:sz="4" w:space="0"/>
              <w:left w:val="nil"/>
              <w:bottom w:val="single" w:color="auto" w:sz="4" w:space="0"/>
              <w:right w:val="single" w:color="auto" w:sz="4" w:space="0"/>
            </w:tcBorders>
            <w:shd w:val="clear"/>
            <w:vAlign w:val="center"/>
          </w:tcPr>
          <w:p w14:paraId="4F0BC38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全国危险废物全过程环境管理信息系统数据传输</w:t>
            </w:r>
          </w:p>
        </w:tc>
        <w:tc>
          <w:tcPr>
            <w:tcW w:w="1596" w:type="dxa"/>
            <w:tcBorders>
              <w:top w:val="single" w:color="auto" w:sz="4" w:space="0"/>
              <w:left w:val="nil"/>
              <w:bottom w:val="single" w:color="auto" w:sz="4" w:space="0"/>
              <w:right w:val="single" w:color="auto" w:sz="4" w:space="0"/>
            </w:tcBorders>
            <w:shd w:val="clear"/>
            <w:noWrap/>
            <w:vAlign w:val="center"/>
          </w:tcPr>
          <w:p w14:paraId="60842801">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w:t>
            </w:r>
          </w:p>
        </w:tc>
        <w:tc>
          <w:tcPr>
            <w:tcW w:w="656" w:type="dxa"/>
            <w:tcBorders>
              <w:top w:val="single" w:color="auto" w:sz="4" w:space="0"/>
              <w:left w:val="nil"/>
              <w:bottom w:val="single" w:color="auto" w:sz="4" w:space="0"/>
              <w:right w:val="single" w:color="auto" w:sz="4" w:space="0"/>
            </w:tcBorders>
            <w:shd w:val="clear"/>
            <w:vAlign w:val="center"/>
          </w:tcPr>
          <w:p w14:paraId="2D81D00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套</w:t>
            </w:r>
          </w:p>
        </w:tc>
        <w:tc>
          <w:tcPr>
            <w:tcW w:w="821" w:type="dxa"/>
            <w:tcBorders>
              <w:top w:val="single" w:color="auto" w:sz="4" w:space="0"/>
              <w:left w:val="nil"/>
              <w:bottom w:val="single" w:color="auto" w:sz="4" w:space="0"/>
              <w:right w:val="single" w:color="auto" w:sz="4" w:space="0"/>
            </w:tcBorders>
            <w:shd w:val="clear"/>
            <w:vAlign w:val="center"/>
          </w:tcPr>
          <w:p w14:paraId="318A1F9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3325" w:type="dxa"/>
            <w:tcBorders>
              <w:top w:val="single" w:color="auto" w:sz="4" w:space="0"/>
              <w:left w:val="nil"/>
              <w:bottom w:val="single" w:color="auto" w:sz="4" w:space="0"/>
              <w:right w:val="single" w:color="auto" w:sz="4" w:space="0"/>
            </w:tcBorders>
            <w:shd w:val="clear"/>
            <w:vAlign w:val="center"/>
          </w:tcPr>
          <w:p w14:paraId="231DD99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产生，入库等通过固废app系统实施传输并且自动生成台账</w:t>
            </w:r>
          </w:p>
        </w:tc>
      </w:tr>
      <w:tr w14:paraId="6003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19" w:type="dxa"/>
            <w:tcBorders>
              <w:top w:val="single" w:color="auto" w:sz="4" w:space="0"/>
              <w:left w:val="single" w:color="auto" w:sz="4" w:space="0"/>
              <w:bottom w:val="single" w:color="auto" w:sz="4" w:space="0"/>
              <w:right w:val="single" w:color="auto" w:sz="4" w:space="0"/>
            </w:tcBorders>
            <w:shd w:val="clear"/>
            <w:noWrap/>
            <w:vAlign w:val="center"/>
          </w:tcPr>
          <w:p w14:paraId="59BBCAD6">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1829" w:type="dxa"/>
            <w:tcBorders>
              <w:top w:val="single" w:color="auto" w:sz="4" w:space="0"/>
              <w:left w:val="nil"/>
              <w:bottom w:val="single" w:color="auto" w:sz="4" w:space="0"/>
              <w:right w:val="single" w:color="auto" w:sz="4" w:space="0"/>
            </w:tcBorders>
            <w:shd w:val="clear"/>
            <w:vAlign w:val="center"/>
          </w:tcPr>
          <w:p w14:paraId="1EBC7D2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软硬件系统运维</w:t>
            </w:r>
          </w:p>
        </w:tc>
        <w:tc>
          <w:tcPr>
            <w:tcW w:w="1596" w:type="dxa"/>
            <w:tcBorders>
              <w:top w:val="single" w:color="auto" w:sz="4" w:space="0"/>
              <w:left w:val="nil"/>
              <w:bottom w:val="single" w:color="auto" w:sz="4" w:space="0"/>
              <w:right w:val="single" w:color="auto" w:sz="4" w:space="0"/>
            </w:tcBorders>
            <w:shd w:val="clear"/>
            <w:noWrap/>
            <w:vAlign w:val="center"/>
          </w:tcPr>
          <w:p w14:paraId="760EECB4">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w:t>
            </w:r>
          </w:p>
        </w:tc>
        <w:tc>
          <w:tcPr>
            <w:tcW w:w="656" w:type="dxa"/>
            <w:tcBorders>
              <w:top w:val="single" w:color="auto" w:sz="4" w:space="0"/>
              <w:left w:val="nil"/>
              <w:bottom w:val="single" w:color="auto" w:sz="4" w:space="0"/>
              <w:right w:val="single" w:color="auto" w:sz="4" w:space="0"/>
            </w:tcBorders>
            <w:shd w:val="clear"/>
            <w:vAlign w:val="center"/>
          </w:tcPr>
          <w:p w14:paraId="4CE178D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w:t>
            </w:r>
          </w:p>
        </w:tc>
        <w:tc>
          <w:tcPr>
            <w:tcW w:w="821" w:type="dxa"/>
            <w:tcBorders>
              <w:top w:val="single" w:color="auto" w:sz="4" w:space="0"/>
              <w:left w:val="nil"/>
              <w:bottom w:val="single" w:color="auto" w:sz="4" w:space="0"/>
              <w:right w:val="single" w:color="auto" w:sz="4" w:space="0"/>
            </w:tcBorders>
            <w:shd w:val="clear"/>
            <w:vAlign w:val="center"/>
          </w:tcPr>
          <w:p w14:paraId="5F12632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w:t>
            </w:r>
          </w:p>
        </w:tc>
        <w:tc>
          <w:tcPr>
            <w:tcW w:w="3325" w:type="dxa"/>
            <w:tcBorders>
              <w:top w:val="single" w:color="auto" w:sz="4" w:space="0"/>
              <w:left w:val="nil"/>
              <w:bottom w:val="single" w:color="auto" w:sz="4" w:space="0"/>
              <w:right w:val="single" w:color="auto" w:sz="4" w:space="0"/>
            </w:tcBorders>
            <w:shd w:val="clear"/>
            <w:vAlign w:val="center"/>
          </w:tcPr>
          <w:p w14:paraId="3D0BBF4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提供软硬件运维服务，保障软硬件的日常运行，保持现有软件、网络以及硬件的正常使用。</w:t>
            </w:r>
          </w:p>
        </w:tc>
      </w:tr>
    </w:tbl>
    <w:p w14:paraId="24A49C7A">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bookmarkStart w:id="4" w:name="_Toc130066819"/>
      <w:r>
        <w:rPr>
          <w:rFonts w:hint="eastAsia" w:ascii="宋体" w:hAnsi="宋体" w:eastAsia="宋体" w:cs="宋体"/>
          <w:b/>
          <w:bCs/>
          <w:kern w:val="2"/>
          <w:sz w:val="28"/>
          <w:szCs w:val="28"/>
          <w:vertAlign w:val="baseline"/>
          <w:lang w:val="en-US" w:eastAsia="zh-CN" w:bidi="ar"/>
        </w:rPr>
        <w:t>四、服务期限</w:t>
      </w:r>
      <w:bookmarkEnd w:id="4"/>
      <w:r>
        <w:rPr>
          <w:rFonts w:hint="eastAsia" w:ascii="宋体" w:hAnsi="宋体" w:eastAsia="宋体" w:cs="宋体"/>
          <w:b/>
          <w:bCs/>
          <w:kern w:val="2"/>
          <w:sz w:val="28"/>
          <w:szCs w:val="28"/>
          <w:vertAlign w:val="baseline"/>
          <w:lang w:val="en-US" w:eastAsia="zh-CN" w:bidi="ar"/>
        </w:rPr>
        <w:t>及进度计划</w:t>
      </w:r>
    </w:p>
    <w:p w14:paraId="67AF7E2B">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万基发电、一铝（一炭、板锭、铸轧共用）、二铝、石墨、铝加工、铝钛合金、棒材厂服务期限为2026年7月1日至2027年6月30日；二炭服务期限为2026年8月1日至2027年6月30日。</w:t>
      </w:r>
    </w:p>
    <w:p w14:paraId="75418A0A">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8家单位物联网运维费用分别进行报价，其中棒材厂运维费用按月支付。</w:t>
      </w:r>
    </w:p>
    <w:p w14:paraId="0E6A65EE">
      <w:pPr>
        <w:pStyle w:val="3"/>
        <w:widowControl/>
        <w:spacing w:before="0" w:beforeAutospacing="0" w:after="0" w:afterAutospacing="0" w:line="360" w:lineRule="auto"/>
        <w:jc w:val="left"/>
        <w:rPr>
          <w:rFonts w:hint="eastAsia" w:ascii="宋体" w:hAnsi="宋体" w:eastAsia="宋体" w:cs="宋体"/>
          <w:b/>
          <w:bCs w:val="0"/>
          <w:kern w:val="2"/>
          <w:sz w:val="28"/>
          <w:szCs w:val="28"/>
        </w:rPr>
      </w:pPr>
      <w:bookmarkStart w:id="5" w:name="_Toc6701314"/>
      <w:r>
        <w:rPr>
          <w:rFonts w:hint="eastAsia" w:ascii="宋体" w:hAnsi="宋体" w:eastAsia="宋体" w:cs="宋体"/>
          <w:b/>
          <w:bCs w:val="0"/>
          <w:kern w:val="2"/>
          <w:sz w:val="28"/>
          <w:szCs w:val="28"/>
        </w:rPr>
        <w:t>五、适用规范和标准</w:t>
      </w:r>
      <w:bookmarkEnd w:id="5"/>
    </w:p>
    <w:p w14:paraId="210553F3">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投标方应承诺遵守如下工作依据（包含但不限于此），对于咨询服务中有关要求都需无条件遵守执行。</w:t>
      </w:r>
    </w:p>
    <w:p w14:paraId="3EDCB073">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《危险废物识别标志设置技术规范》（HJ1276-2022）</w:t>
      </w:r>
    </w:p>
    <w:p w14:paraId="7CC6E93E">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r>
        <w:rPr>
          <w:rFonts w:hint="eastAsia" w:ascii="宋体" w:hAnsi="宋体" w:eastAsia="宋体" w:cs="宋体"/>
          <w:b/>
          <w:bCs/>
          <w:kern w:val="2"/>
          <w:sz w:val="28"/>
          <w:szCs w:val="28"/>
          <w:vertAlign w:val="baseline"/>
          <w:lang w:val="en-US" w:eastAsia="zh-CN" w:bidi="ar"/>
        </w:rPr>
        <w:t>六、质量验收要求</w:t>
      </w:r>
    </w:p>
    <w:p w14:paraId="0FE2A602">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 xml:space="preserve"> 危险废物物联网系统各模块维护、软件升级、计量设备校验等运维服务，实现各模块功能正常运行，危废入库、出库、转移模块使用正常。</w:t>
      </w:r>
    </w:p>
    <w:p w14:paraId="169A00A0">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Calibri" w:hAnsi="Calibri" w:eastAsia="宋体" w:cs="Times New Roman"/>
          <w:kern w:val="2"/>
          <w:sz w:val="21"/>
          <w:szCs w:val="21"/>
          <w:vertAlign w:val="baseline"/>
        </w:rPr>
      </w:pPr>
      <w:r>
        <w:rPr>
          <w:rFonts w:hint="eastAsia" w:ascii="宋体" w:hAnsi="宋体" w:eastAsia="宋体" w:cs="宋体"/>
          <w:kern w:val="2"/>
          <w:sz w:val="28"/>
          <w:szCs w:val="28"/>
          <w:vertAlign w:val="baseline"/>
          <w:lang w:val="en-US" w:eastAsia="zh-CN" w:bidi="ar"/>
        </w:rPr>
        <w:t xml:space="preserve"> 根据《危险废物识别标志设置技术规范》（HJ1276-2022）对于危险废物标签的要求，保持200mm</w:t>
      </w:r>
      <w:r>
        <w:rPr>
          <w:rFonts w:hint="default" w:ascii="Arial" w:hAnsi="Arial" w:eastAsia="宋体" w:cs="Arial"/>
          <w:kern w:val="2"/>
          <w:sz w:val="28"/>
          <w:szCs w:val="28"/>
          <w:vertAlign w:val="baseline"/>
          <w:lang w:val="en-US" w:eastAsia="zh-CN" w:bidi="ar"/>
        </w:rPr>
        <w:t>×</w:t>
      </w:r>
      <w:r>
        <w:rPr>
          <w:rFonts w:hint="eastAsia" w:ascii="宋体" w:hAnsi="宋体" w:eastAsia="宋体" w:cs="宋体"/>
          <w:kern w:val="2"/>
          <w:sz w:val="28"/>
          <w:szCs w:val="28"/>
          <w:vertAlign w:val="baseline"/>
          <w:lang w:val="en-US" w:eastAsia="zh-CN" w:bidi="ar"/>
        </w:rPr>
        <w:t>200mm的标签打印机正常使用，标签尺寸满足通用所有规格的容器或容积。</w:t>
      </w:r>
    </w:p>
    <w:p w14:paraId="4E7494D9">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r>
        <w:rPr>
          <w:rFonts w:hint="eastAsia" w:ascii="宋体" w:hAnsi="宋体" w:eastAsia="宋体" w:cs="宋体"/>
          <w:b/>
          <w:bCs/>
          <w:kern w:val="2"/>
          <w:sz w:val="28"/>
          <w:szCs w:val="28"/>
          <w:vertAlign w:val="baseline"/>
          <w:lang w:val="en-US" w:eastAsia="zh-CN" w:bidi="ar"/>
        </w:rPr>
        <w:t>七、运维技术服务项目清单</w:t>
      </w:r>
    </w:p>
    <w:tbl>
      <w:tblPr>
        <w:tblStyle w:val="22"/>
        <w:tblW w:w="8787" w:type="dxa"/>
        <w:tblInd w:w="144"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autofit"/>
        <w:tblCellMar>
          <w:top w:w="0" w:type="dxa"/>
          <w:left w:w="108" w:type="dxa"/>
          <w:bottom w:w="0" w:type="dxa"/>
          <w:right w:w="108" w:type="dxa"/>
        </w:tblCellMar>
      </w:tblPr>
      <w:tblGrid>
        <w:gridCol w:w="1555"/>
        <w:gridCol w:w="1601"/>
        <w:gridCol w:w="5631"/>
      </w:tblGrid>
      <w:tr w14:paraId="647EB4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441" w:hRule="atLeast"/>
        </w:trPr>
        <w:tc>
          <w:tcPr>
            <w:tcW w:w="1555" w:type="dxa"/>
            <w:tcBorders>
              <w:top w:val="single" w:color="auto" w:sz="4" w:space="0"/>
              <w:left w:val="single" w:color="auto" w:sz="4" w:space="0"/>
              <w:bottom w:val="single" w:color="000000" w:sz="4" w:space="0"/>
              <w:right w:val="single" w:color="000000" w:sz="4" w:space="0"/>
            </w:tcBorders>
            <w:shd w:val="clear"/>
            <w:vAlign w:val="center"/>
          </w:tcPr>
          <w:p w14:paraId="396B7A15">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bookmarkStart w:id="6" w:name="_Toc77174077"/>
            <w:r>
              <w:rPr>
                <w:rFonts w:hint="eastAsia" w:ascii="宋体" w:hAnsi="宋体" w:eastAsia="宋体" w:cs="宋体"/>
                <w:kern w:val="2"/>
                <w:sz w:val="21"/>
                <w:szCs w:val="21"/>
                <w:bdr w:val="none" w:color="auto" w:sz="0" w:space="0"/>
                <w:lang w:val="en-US" w:eastAsia="zh-CN" w:bidi="ar"/>
              </w:rPr>
              <w:t>服务项目</w:t>
            </w:r>
            <w:bookmarkEnd w:id="6"/>
          </w:p>
        </w:tc>
        <w:tc>
          <w:tcPr>
            <w:tcW w:w="1601" w:type="dxa"/>
            <w:tcBorders>
              <w:top w:val="single" w:color="auto" w:sz="4" w:space="0"/>
              <w:left w:val="nil"/>
              <w:bottom w:val="single" w:color="000000" w:sz="4" w:space="0"/>
              <w:right w:val="single" w:color="000000" w:sz="4" w:space="0"/>
            </w:tcBorders>
            <w:shd w:val="clear"/>
            <w:vAlign w:val="center"/>
          </w:tcPr>
          <w:p w14:paraId="47275F0F">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序号</w:t>
            </w:r>
          </w:p>
        </w:tc>
        <w:tc>
          <w:tcPr>
            <w:tcW w:w="5631" w:type="dxa"/>
            <w:tcBorders>
              <w:top w:val="single" w:color="auto" w:sz="4" w:space="0"/>
              <w:left w:val="nil"/>
              <w:bottom w:val="single" w:color="000000" w:sz="4" w:space="0"/>
              <w:right w:val="single" w:color="auto" w:sz="4" w:space="0"/>
            </w:tcBorders>
            <w:shd w:val="clear"/>
            <w:vAlign w:val="center"/>
          </w:tcPr>
          <w:p w14:paraId="672B1BE2">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服务内容</w:t>
            </w:r>
          </w:p>
        </w:tc>
      </w:tr>
      <w:tr w14:paraId="302B9D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1" w:hRule="atLeast"/>
        </w:trPr>
        <w:tc>
          <w:tcPr>
            <w:tcW w:w="1555" w:type="dxa"/>
            <w:vMerge w:val="restart"/>
            <w:tcBorders>
              <w:top w:val="nil"/>
              <w:left w:val="single" w:color="auto" w:sz="4" w:space="0"/>
              <w:bottom w:val="nil"/>
              <w:right w:val="single" w:color="000000" w:sz="4" w:space="0"/>
            </w:tcBorders>
            <w:shd w:val="clear"/>
            <w:vAlign w:val="center"/>
          </w:tcPr>
          <w:p w14:paraId="75BE7B01">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12D84662">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62ECC09B">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2506C18C">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4BBFD41E">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563DA0EC">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73366EA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固废物联网系统运维服务</w:t>
            </w:r>
          </w:p>
          <w:p w14:paraId="6E23310C">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419675D7">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030595E3">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21186E29">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306D5C88">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19BA857F">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563F64AD">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5F44F926">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57CB8A23">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0DC64A1E">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p w14:paraId="41AF520A">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p>
        </w:tc>
        <w:tc>
          <w:tcPr>
            <w:tcW w:w="1601" w:type="dxa"/>
            <w:tcBorders>
              <w:top w:val="nil"/>
              <w:left w:val="nil"/>
              <w:bottom w:val="single" w:color="000000" w:sz="4" w:space="0"/>
              <w:right w:val="single" w:color="000000" w:sz="4" w:space="0"/>
            </w:tcBorders>
            <w:shd w:val="clear"/>
            <w:vAlign w:val="center"/>
          </w:tcPr>
          <w:p w14:paraId="68A3E5A2">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1 </w:t>
            </w:r>
          </w:p>
        </w:tc>
        <w:tc>
          <w:tcPr>
            <w:tcW w:w="5631" w:type="dxa"/>
            <w:tcBorders>
              <w:top w:val="nil"/>
              <w:left w:val="nil"/>
              <w:bottom w:val="single" w:color="000000" w:sz="4" w:space="0"/>
              <w:right w:val="single" w:color="auto" w:sz="4" w:space="0"/>
            </w:tcBorders>
            <w:shd w:val="clear"/>
            <w:vAlign w:val="center"/>
          </w:tcPr>
          <w:p w14:paraId="6433723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在所在地市建立维护服务机构，并自建有完善的设备监控系统，能够按照建设规的要求提供完整的设备维护状态日志及故障诊断报告。</w:t>
            </w:r>
          </w:p>
        </w:tc>
      </w:tr>
      <w:tr w14:paraId="771296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0" w:hRule="atLeast"/>
        </w:trPr>
        <w:tc>
          <w:tcPr>
            <w:tcW w:w="1555" w:type="dxa"/>
            <w:vMerge w:val="continue"/>
            <w:tcBorders>
              <w:top w:val="nil"/>
              <w:left w:val="single" w:color="auto" w:sz="4" w:space="0"/>
              <w:bottom w:val="nil"/>
              <w:right w:val="single" w:color="000000" w:sz="4" w:space="0"/>
            </w:tcBorders>
            <w:shd w:val="clear"/>
            <w:vAlign w:val="center"/>
          </w:tcPr>
          <w:p w14:paraId="4DB51DA7">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2CC9C478">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2 </w:t>
            </w:r>
          </w:p>
        </w:tc>
        <w:tc>
          <w:tcPr>
            <w:tcW w:w="5631" w:type="dxa"/>
            <w:tcBorders>
              <w:top w:val="single" w:color="000000" w:sz="4" w:space="0"/>
              <w:left w:val="nil"/>
              <w:bottom w:val="single" w:color="000000" w:sz="4" w:space="0"/>
              <w:right w:val="single" w:color="auto" w:sz="4" w:space="0"/>
            </w:tcBorders>
            <w:shd w:val="clear"/>
            <w:vAlign w:val="center"/>
          </w:tcPr>
          <w:p w14:paraId="36C0D867">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制定完善的运营管理和责任制度，建立运营维护管理台帐，并接受环保部门和甲方的监督。</w:t>
            </w:r>
          </w:p>
        </w:tc>
      </w:tr>
      <w:tr w14:paraId="1B3F42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0" w:hRule="atLeast"/>
        </w:trPr>
        <w:tc>
          <w:tcPr>
            <w:tcW w:w="1555" w:type="dxa"/>
            <w:vMerge w:val="continue"/>
            <w:tcBorders>
              <w:top w:val="nil"/>
              <w:left w:val="single" w:color="auto" w:sz="4" w:space="0"/>
              <w:bottom w:val="nil"/>
              <w:right w:val="single" w:color="000000" w:sz="4" w:space="0"/>
            </w:tcBorders>
            <w:shd w:val="clear"/>
            <w:vAlign w:val="center"/>
          </w:tcPr>
          <w:p w14:paraId="7FACEA69">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235F7151">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3 </w:t>
            </w:r>
          </w:p>
        </w:tc>
        <w:tc>
          <w:tcPr>
            <w:tcW w:w="5631" w:type="dxa"/>
            <w:tcBorders>
              <w:top w:val="single" w:color="000000" w:sz="4" w:space="0"/>
              <w:left w:val="nil"/>
              <w:bottom w:val="single" w:color="000000" w:sz="4" w:space="0"/>
              <w:right w:val="single" w:color="auto" w:sz="4" w:space="0"/>
            </w:tcBorders>
            <w:shd w:val="clear"/>
            <w:vAlign w:val="center"/>
          </w:tcPr>
          <w:p w14:paraId="2D5269B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做好日常的运营维护工作，保障危废物联网系统的正常运行，保证设备数据的真实、准确、有效上传，符合环保部门的要求。</w:t>
            </w:r>
          </w:p>
        </w:tc>
      </w:tr>
      <w:tr w14:paraId="133403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0" w:hRule="atLeast"/>
        </w:trPr>
        <w:tc>
          <w:tcPr>
            <w:tcW w:w="1555" w:type="dxa"/>
            <w:vMerge w:val="continue"/>
            <w:tcBorders>
              <w:top w:val="nil"/>
              <w:left w:val="single" w:color="auto" w:sz="4" w:space="0"/>
              <w:bottom w:val="nil"/>
              <w:right w:val="single" w:color="000000" w:sz="4" w:space="0"/>
            </w:tcBorders>
            <w:shd w:val="clear"/>
            <w:vAlign w:val="center"/>
          </w:tcPr>
          <w:p w14:paraId="22261ED3">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114E4870">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4 </w:t>
            </w:r>
          </w:p>
        </w:tc>
        <w:tc>
          <w:tcPr>
            <w:tcW w:w="5631" w:type="dxa"/>
            <w:tcBorders>
              <w:top w:val="single" w:color="000000" w:sz="4" w:space="0"/>
              <w:left w:val="nil"/>
              <w:bottom w:val="single" w:color="000000" w:sz="4" w:space="0"/>
              <w:right w:val="single" w:color="auto" w:sz="4" w:space="0"/>
            </w:tcBorders>
            <w:shd w:val="clear"/>
            <w:vAlign w:val="center"/>
          </w:tcPr>
          <w:p w14:paraId="2B3062C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提供系统软件维护、升级以及系统软件应急抢修服务。</w:t>
            </w:r>
          </w:p>
        </w:tc>
      </w:tr>
      <w:tr w14:paraId="67E5BF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699" w:hRule="atLeast"/>
        </w:trPr>
        <w:tc>
          <w:tcPr>
            <w:tcW w:w="1555" w:type="dxa"/>
            <w:vMerge w:val="continue"/>
            <w:tcBorders>
              <w:top w:val="nil"/>
              <w:left w:val="single" w:color="auto" w:sz="4" w:space="0"/>
              <w:bottom w:val="nil"/>
              <w:right w:val="single" w:color="000000" w:sz="4" w:space="0"/>
            </w:tcBorders>
            <w:shd w:val="clear"/>
            <w:vAlign w:val="center"/>
          </w:tcPr>
          <w:p w14:paraId="7628F460">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56BC2C40">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5 </w:t>
            </w:r>
          </w:p>
        </w:tc>
        <w:tc>
          <w:tcPr>
            <w:tcW w:w="5631" w:type="dxa"/>
            <w:tcBorders>
              <w:top w:val="single" w:color="000000" w:sz="4" w:space="0"/>
              <w:left w:val="nil"/>
              <w:bottom w:val="single" w:color="000000" w:sz="4" w:space="0"/>
              <w:right w:val="single" w:color="auto" w:sz="4" w:space="0"/>
            </w:tcBorders>
            <w:shd w:val="clear"/>
            <w:vAlign w:val="center"/>
          </w:tcPr>
          <w:p w14:paraId="18BBD36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提供系统硬件维护与保养、硬件维修、抢修，以及设备校验服务与客户约定不低于24次，提供满足危险废物物联网系统使用的热敏标签打印纸。</w:t>
            </w:r>
          </w:p>
        </w:tc>
      </w:tr>
      <w:tr w14:paraId="289B6F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1" w:hRule="atLeast"/>
        </w:trPr>
        <w:tc>
          <w:tcPr>
            <w:tcW w:w="1555" w:type="dxa"/>
            <w:vMerge w:val="continue"/>
            <w:tcBorders>
              <w:top w:val="nil"/>
              <w:left w:val="single" w:color="auto" w:sz="4" w:space="0"/>
              <w:bottom w:val="nil"/>
              <w:right w:val="single" w:color="000000" w:sz="4" w:space="0"/>
            </w:tcBorders>
            <w:shd w:val="clear"/>
            <w:vAlign w:val="center"/>
          </w:tcPr>
          <w:p w14:paraId="07A5609F">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79CDB4C1">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6 </w:t>
            </w:r>
          </w:p>
        </w:tc>
        <w:tc>
          <w:tcPr>
            <w:tcW w:w="5631" w:type="dxa"/>
            <w:tcBorders>
              <w:top w:val="nil"/>
              <w:left w:val="nil"/>
              <w:bottom w:val="nil"/>
              <w:right w:val="single" w:color="auto" w:sz="4" w:space="0"/>
            </w:tcBorders>
            <w:shd w:val="clear"/>
            <w:vAlign w:val="center"/>
          </w:tcPr>
          <w:p w14:paraId="68A5501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提供硬件设备零部件、易损件、功能模块维修更换服务。</w:t>
            </w:r>
          </w:p>
        </w:tc>
      </w:tr>
      <w:tr w14:paraId="2CF5CF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1" w:hRule="atLeast"/>
        </w:trPr>
        <w:tc>
          <w:tcPr>
            <w:tcW w:w="1555" w:type="dxa"/>
            <w:vMerge w:val="continue"/>
            <w:tcBorders>
              <w:top w:val="nil"/>
              <w:left w:val="single" w:color="auto" w:sz="4" w:space="0"/>
              <w:bottom w:val="nil"/>
              <w:right w:val="single" w:color="000000" w:sz="4" w:space="0"/>
            </w:tcBorders>
            <w:shd w:val="clear"/>
            <w:vAlign w:val="center"/>
          </w:tcPr>
          <w:p w14:paraId="211E729A">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34EF6633">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7 </w:t>
            </w:r>
          </w:p>
        </w:tc>
        <w:tc>
          <w:tcPr>
            <w:tcW w:w="5631" w:type="dxa"/>
            <w:tcBorders>
              <w:top w:val="single" w:color="000000" w:sz="4" w:space="0"/>
              <w:left w:val="nil"/>
              <w:bottom w:val="single" w:color="000000" w:sz="4" w:space="0"/>
              <w:right w:val="single" w:color="auto" w:sz="4" w:space="0"/>
            </w:tcBorders>
            <w:shd w:val="clear"/>
            <w:vAlign w:val="center"/>
          </w:tcPr>
          <w:p w14:paraId="68E108B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软硬件系统操作新员工的培训和现场实际操作，出现问题可现场协助响应解决。</w:t>
            </w:r>
          </w:p>
        </w:tc>
      </w:tr>
      <w:tr w14:paraId="7547CD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0" w:hRule="atLeast"/>
        </w:trPr>
        <w:tc>
          <w:tcPr>
            <w:tcW w:w="1555" w:type="dxa"/>
            <w:vMerge w:val="continue"/>
            <w:tcBorders>
              <w:top w:val="nil"/>
              <w:left w:val="single" w:color="auto" w:sz="4" w:space="0"/>
              <w:bottom w:val="nil"/>
              <w:right w:val="single" w:color="000000" w:sz="4" w:space="0"/>
            </w:tcBorders>
            <w:shd w:val="clear"/>
            <w:vAlign w:val="center"/>
          </w:tcPr>
          <w:p w14:paraId="4FB7CF5A">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2E6579DB">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5631" w:type="dxa"/>
            <w:tcBorders>
              <w:top w:val="single" w:color="000000" w:sz="4" w:space="0"/>
              <w:left w:val="nil"/>
              <w:bottom w:val="single" w:color="000000" w:sz="4" w:space="0"/>
              <w:right w:val="single" w:color="auto" w:sz="4" w:space="0"/>
            </w:tcBorders>
            <w:shd w:val="clear"/>
            <w:vAlign w:val="center"/>
          </w:tcPr>
          <w:p w14:paraId="1F6A63F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一年内常规上门巡检服务不低于24次</w:t>
            </w:r>
            <w:r>
              <w:rPr>
                <w:rFonts w:hint="eastAsia" w:ascii="宋体" w:hAnsi="宋体" w:eastAsia="宋体" w:cs="宋体"/>
                <w:kern w:val="2"/>
                <w:sz w:val="21"/>
                <w:szCs w:val="21"/>
                <w:bdr w:val="none" w:color="auto" w:sz="0" w:space="0"/>
                <w:lang w:val="en-US" w:eastAsia="zh-CN" w:bidi="ar"/>
              </w:rPr>
              <w:t>。</w:t>
            </w:r>
          </w:p>
        </w:tc>
      </w:tr>
      <w:tr w14:paraId="166A55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0" w:hRule="atLeast"/>
        </w:trPr>
        <w:tc>
          <w:tcPr>
            <w:tcW w:w="1555" w:type="dxa"/>
            <w:vMerge w:val="continue"/>
            <w:tcBorders>
              <w:top w:val="nil"/>
              <w:left w:val="single" w:color="auto" w:sz="4" w:space="0"/>
              <w:bottom w:val="nil"/>
              <w:right w:val="single" w:color="000000" w:sz="4" w:space="0"/>
            </w:tcBorders>
            <w:shd w:val="clear"/>
            <w:vAlign w:val="center"/>
          </w:tcPr>
          <w:p w14:paraId="5633BDA6">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4783FC52">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w:t>
            </w:r>
          </w:p>
        </w:tc>
        <w:tc>
          <w:tcPr>
            <w:tcW w:w="5631" w:type="dxa"/>
            <w:tcBorders>
              <w:top w:val="single" w:color="000000" w:sz="4" w:space="0"/>
              <w:left w:val="nil"/>
              <w:bottom w:val="single" w:color="000000" w:sz="4" w:space="0"/>
              <w:right w:val="single" w:color="auto" w:sz="4" w:space="0"/>
            </w:tcBorders>
            <w:shd w:val="clear"/>
            <w:vAlign w:val="center"/>
          </w:tcPr>
          <w:p w14:paraId="04F2CB8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指定专人对接技术人员及时解决因系统或软件原因造成不能出库，入库，转移联单等突发问题。</w:t>
            </w:r>
          </w:p>
        </w:tc>
      </w:tr>
      <w:tr w14:paraId="08931D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1555" w:type="dxa"/>
            <w:vMerge w:val="continue"/>
            <w:tcBorders>
              <w:top w:val="nil"/>
              <w:left w:val="single" w:color="auto" w:sz="4" w:space="0"/>
              <w:bottom w:val="nil"/>
              <w:right w:val="single" w:color="000000" w:sz="4" w:space="0"/>
            </w:tcBorders>
            <w:shd w:val="clear"/>
            <w:vAlign w:val="center"/>
          </w:tcPr>
          <w:p w14:paraId="36AD6B57">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44183DB4">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w:t>
            </w:r>
          </w:p>
        </w:tc>
        <w:tc>
          <w:tcPr>
            <w:tcW w:w="5631" w:type="dxa"/>
            <w:tcBorders>
              <w:top w:val="single" w:color="000000" w:sz="4" w:space="0"/>
              <w:left w:val="nil"/>
              <w:bottom w:val="single" w:color="000000" w:sz="4" w:space="0"/>
              <w:right w:val="single" w:color="auto" w:sz="4" w:space="0"/>
            </w:tcBorders>
            <w:shd w:val="clear"/>
            <w:vAlign w:val="center"/>
          </w:tcPr>
          <w:p w14:paraId="44A4080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协助企业完成全国危险废物全过程环境管理信息系统中危险废物管理计划、转移计划、转移联单、年报等系统填报工作。</w:t>
            </w:r>
          </w:p>
        </w:tc>
      </w:tr>
      <w:tr w14:paraId="13A498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0" w:hRule="atLeast"/>
        </w:trPr>
        <w:tc>
          <w:tcPr>
            <w:tcW w:w="1555" w:type="dxa"/>
            <w:vMerge w:val="continue"/>
            <w:tcBorders>
              <w:top w:val="nil"/>
              <w:left w:val="single" w:color="auto" w:sz="4" w:space="0"/>
              <w:bottom w:val="nil"/>
              <w:right w:val="single" w:color="000000" w:sz="4" w:space="0"/>
            </w:tcBorders>
            <w:shd w:val="clear"/>
            <w:vAlign w:val="center"/>
          </w:tcPr>
          <w:p w14:paraId="7DDA85A5">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71A58866">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11</w:t>
            </w:r>
          </w:p>
        </w:tc>
        <w:tc>
          <w:tcPr>
            <w:tcW w:w="5631" w:type="dxa"/>
            <w:tcBorders>
              <w:top w:val="single" w:color="000000" w:sz="4" w:space="0"/>
              <w:left w:val="nil"/>
              <w:bottom w:val="single" w:color="000000" w:sz="4" w:space="0"/>
              <w:right w:val="single" w:color="auto" w:sz="4" w:space="0"/>
            </w:tcBorders>
            <w:shd w:val="clear"/>
            <w:vAlign w:val="center"/>
          </w:tcPr>
          <w:p w14:paraId="032B6A4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对甲方危险废物管理进行全方位排查，排查危废间相关标识，提出合理化整改意见，帮助企业完成整改。</w:t>
            </w:r>
          </w:p>
        </w:tc>
      </w:tr>
      <w:tr w14:paraId="12D410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95" w:hRule="atLeast"/>
        </w:trPr>
        <w:tc>
          <w:tcPr>
            <w:tcW w:w="1555" w:type="dxa"/>
            <w:vMerge w:val="continue"/>
            <w:tcBorders>
              <w:top w:val="nil"/>
              <w:left w:val="single" w:color="auto" w:sz="4" w:space="0"/>
              <w:bottom w:val="nil"/>
              <w:right w:val="single" w:color="000000" w:sz="4" w:space="0"/>
            </w:tcBorders>
            <w:shd w:val="clear"/>
            <w:vAlign w:val="center"/>
          </w:tcPr>
          <w:p w14:paraId="27A381D4">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598C74D6">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12</w:t>
            </w:r>
          </w:p>
        </w:tc>
        <w:tc>
          <w:tcPr>
            <w:tcW w:w="5631" w:type="dxa"/>
            <w:tcBorders>
              <w:top w:val="single" w:color="000000" w:sz="4" w:space="0"/>
              <w:left w:val="nil"/>
              <w:bottom w:val="single" w:color="000000" w:sz="4" w:space="0"/>
              <w:right w:val="single" w:color="auto" w:sz="4" w:space="0"/>
            </w:tcBorders>
            <w:shd w:val="clear"/>
            <w:vAlign w:val="center"/>
          </w:tcPr>
          <w:p w14:paraId="0F2DE6B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提供关于危废管理规范及法律法规方面的技术培训。</w:t>
            </w:r>
          </w:p>
        </w:tc>
      </w:tr>
      <w:tr w14:paraId="68F29E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4" w:hRule="atLeast"/>
        </w:trPr>
        <w:tc>
          <w:tcPr>
            <w:tcW w:w="1555" w:type="dxa"/>
            <w:vMerge w:val="continue"/>
            <w:tcBorders>
              <w:top w:val="nil"/>
              <w:left w:val="single" w:color="auto" w:sz="4" w:space="0"/>
              <w:bottom w:val="nil"/>
              <w:right w:val="single" w:color="000000" w:sz="4" w:space="0"/>
            </w:tcBorders>
            <w:shd w:val="clear"/>
            <w:vAlign w:val="center"/>
          </w:tcPr>
          <w:p w14:paraId="139A968C">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7CAF2637">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13</w:t>
            </w:r>
          </w:p>
        </w:tc>
        <w:tc>
          <w:tcPr>
            <w:tcW w:w="5631" w:type="dxa"/>
            <w:tcBorders>
              <w:top w:val="single" w:color="000000" w:sz="4" w:space="0"/>
              <w:left w:val="nil"/>
              <w:bottom w:val="single" w:color="000000" w:sz="4" w:space="0"/>
              <w:right w:val="single" w:color="auto" w:sz="4" w:space="0"/>
            </w:tcBorders>
            <w:shd w:val="clear"/>
            <w:vAlign w:val="center"/>
          </w:tcPr>
          <w:p w14:paraId="2489170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设备出现故障后，乙方应在接到甲方通知后1小时内到达现场：检查故障原因更换或修理故障部件直至故障排除。</w:t>
            </w:r>
          </w:p>
        </w:tc>
      </w:tr>
      <w:tr w14:paraId="2C839B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0" w:hRule="atLeast"/>
        </w:trPr>
        <w:tc>
          <w:tcPr>
            <w:tcW w:w="1555" w:type="dxa"/>
            <w:vMerge w:val="continue"/>
            <w:tcBorders>
              <w:top w:val="nil"/>
              <w:left w:val="single" w:color="auto" w:sz="4" w:space="0"/>
              <w:bottom w:val="nil"/>
              <w:right w:val="single" w:color="000000" w:sz="4" w:space="0"/>
            </w:tcBorders>
            <w:shd w:val="clear"/>
            <w:vAlign w:val="center"/>
          </w:tcPr>
          <w:p w14:paraId="77CA8D05">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5258028B">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14</w:t>
            </w:r>
          </w:p>
        </w:tc>
        <w:tc>
          <w:tcPr>
            <w:tcW w:w="5631" w:type="dxa"/>
            <w:tcBorders>
              <w:top w:val="single" w:color="000000" w:sz="4" w:space="0"/>
              <w:left w:val="nil"/>
              <w:bottom w:val="single" w:color="000000" w:sz="4" w:space="0"/>
              <w:right w:val="single" w:color="auto" w:sz="4" w:space="0"/>
            </w:tcBorders>
            <w:shd w:val="clear"/>
            <w:vAlign w:val="center"/>
          </w:tcPr>
          <w:p w14:paraId="27A15CE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做好日常的运营维护工作，保障危废物联网系统的正常运行，保证设备数据的真实、准确、有效上传，符合环保部门的要求。</w:t>
            </w:r>
          </w:p>
        </w:tc>
      </w:tr>
      <w:tr w14:paraId="6EE701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95" w:hRule="atLeast"/>
        </w:trPr>
        <w:tc>
          <w:tcPr>
            <w:tcW w:w="1555" w:type="dxa"/>
            <w:vMerge w:val="continue"/>
            <w:tcBorders>
              <w:top w:val="nil"/>
              <w:left w:val="single" w:color="auto" w:sz="4" w:space="0"/>
              <w:bottom w:val="nil"/>
              <w:right w:val="single" w:color="000000" w:sz="4" w:space="0"/>
            </w:tcBorders>
            <w:shd w:val="clear"/>
            <w:vAlign w:val="center"/>
          </w:tcPr>
          <w:p w14:paraId="2547668D">
            <w:pPr>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vAlign w:val="center"/>
          </w:tcPr>
          <w:p w14:paraId="7B87F12D">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15</w:t>
            </w:r>
          </w:p>
        </w:tc>
        <w:tc>
          <w:tcPr>
            <w:tcW w:w="5631" w:type="dxa"/>
            <w:tcBorders>
              <w:top w:val="single" w:color="000000" w:sz="4" w:space="0"/>
              <w:left w:val="nil"/>
              <w:bottom w:val="single" w:color="000000" w:sz="4" w:space="0"/>
              <w:right w:val="single" w:color="auto" w:sz="4" w:space="0"/>
            </w:tcBorders>
            <w:shd w:val="clear"/>
            <w:vAlign w:val="center"/>
          </w:tcPr>
          <w:p w14:paraId="44F8DA3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对于重大软硬件系统故障，涉固废单位相关管理人员应立即通知生产厂家及运维机构，应在12 小时内使系统恢复运 行，对于应用系统引发的系统异常或故障，应及时通知软件开发单位，并协同解决处理。</w:t>
            </w:r>
          </w:p>
        </w:tc>
      </w:tr>
    </w:tbl>
    <w:p w14:paraId="1ABCE8F1">
      <w:pPr>
        <w:keepNext w:val="0"/>
        <w:keepLines w:val="0"/>
        <w:widowControl w:val="0"/>
        <w:numPr>
          <w:ilvl w:val="0"/>
          <w:numId w:val="6"/>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bookmarkStart w:id="7" w:name="_Toc1387"/>
      <w:bookmarkEnd w:id="7"/>
      <w:r>
        <w:rPr>
          <w:rFonts w:hint="eastAsia" w:ascii="宋体" w:hAnsi="宋体" w:eastAsia="宋体" w:cs="宋体"/>
          <w:b/>
          <w:bCs/>
          <w:kern w:val="2"/>
          <w:sz w:val="28"/>
          <w:szCs w:val="28"/>
          <w:vertAlign w:val="baseline"/>
          <w:lang w:val="en-US" w:eastAsia="zh-CN" w:bidi="ar"/>
        </w:rPr>
        <w:t>服务进度及质量保证</w:t>
      </w:r>
    </w:p>
    <w:p w14:paraId="1160F5F5">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服务完成时间为2027年6月30日，期间每半年进行验收一次，验收不合格解除合同。</w:t>
      </w:r>
    </w:p>
    <w:p w14:paraId="60290A7F">
      <w:pPr>
        <w:keepNext w:val="0"/>
        <w:keepLines w:val="0"/>
        <w:widowControl w:val="0"/>
        <w:numPr>
          <w:ilvl w:val="0"/>
          <w:numId w:val="6"/>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bookmarkStart w:id="8" w:name="_Toc1872"/>
      <w:r>
        <w:rPr>
          <w:rFonts w:hint="eastAsia" w:ascii="宋体" w:hAnsi="宋体" w:eastAsia="宋体" w:cs="宋体"/>
          <w:b/>
          <w:bCs/>
          <w:kern w:val="2"/>
          <w:sz w:val="28"/>
          <w:szCs w:val="28"/>
          <w:vertAlign w:val="baseline"/>
          <w:lang w:val="en-US" w:eastAsia="zh-CN" w:bidi="ar"/>
        </w:rPr>
        <w:t>服务工作考核评价办法</w:t>
      </w:r>
      <w:bookmarkEnd w:id="8"/>
    </w:p>
    <w:p w14:paraId="13A6807B">
      <w:pPr>
        <w:keepNext w:val="0"/>
        <w:keepLines w:val="0"/>
        <w:widowControl w:val="0"/>
        <w:numPr>
          <w:ilvl w:val="0"/>
          <w:numId w:val="7"/>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未按按规定时间运维的，每延迟一天考核1000元。</w:t>
      </w:r>
    </w:p>
    <w:p w14:paraId="508A219F">
      <w:pPr>
        <w:keepNext w:val="0"/>
        <w:keepLines w:val="0"/>
        <w:widowControl w:val="0"/>
        <w:numPr>
          <w:ilvl w:val="0"/>
          <w:numId w:val="7"/>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突发故障1小时未到现场的，每次考核500元。</w:t>
      </w:r>
    </w:p>
    <w:p w14:paraId="0C2FE27C">
      <w:pPr>
        <w:keepNext w:val="0"/>
        <w:keepLines w:val="0"/>
        <w:widowControl w:val="0"/>
        <w:numPr>
          <w:ilvl w:val="0"/>
          <w:numId w:val="7"/>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软硬件故障24小时未能修复，造成危废无法按时转移的，每次考核1000元。</w:t>
      </w:r>
    </w:p>
    <w:p w14:paraId="194E46CD">
      <w:pPr>
        <w:keepNext w:val="0"/>
        <w:keepLines w:val="0"/>
        <w:widowControl w:val="0"/>
        <w:numPr>
          <w:ilvl w:val="0"/>
          <w:numId w:val="7"/>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台账、月报、年报等审核把关不严，造成上报错误的，每次考核500元。</w:t>
      </w:r>
    </w:p>
    <w:p w14:paraId="1840F557">
      <w:pPr>
        <w:keepNext w:val="0"/>
        <w:keepLines w:val="0"/>
        <w:widowControl w:val="0"/>
        <w:numPr>
          <w:ilvl w:val="0"/>
          <w:numId w:val="7"/>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运维记录错误或不详实的，每处考核100元。</w:t>
      </w:r>
    </w:p>
    <w:p w14:paraId="223A4519">
      <w:pPr>
        <w:keepNext w:val="0"/>
        <w:keepLines w:val="0"/>
        <w:widowControl w:val="0"/>
        <w:numPr>
          <w:ilvl w:val="0"/>
          <w:numId w:val="7"/>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因乙方疏忽造成危废库物联网软硬件设施等故障故障未发现，未及时修复的，每次考核1000元，造成严重后果的，乙方赔偿并承担一切后果。</w:t>
      </w:r>
    </w:p>
    <w:p w14:paraId="45EF1F03">
      <w:pPr>
        <w:spacing w:line="420" w:lineRule="exact"/>
        <w:rPr>
          <w:rFonts w:hint="default" w:ascii="宋体" w:hAnsi="宋体" w:eastAsia="宋体"/>
          <w:b/>
          <w:bCs/>
          <w:color w:val="000000"/>
          <w:sz w:val="32"/>
          <w:szCs w:val="32"/>
          <w:lang w:val="en-US" w:eastAsia="zh-CN"/>
        </w:rPr>
      </w:pPr>
    </w:p>
    <w:sectPr>
      <w:headerReference r:id="rId5" w:type="default"/>
      <w:footerReference r:id="rId6" w:type="default"/>
      <w:pgSz w:w="12240" w:h="15839"/>
      <w:pgMar w:top="1440" w:right="1417" w:bottom="1440" w:left="16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A61C387F">
    <w:panose1 w:val="020B0604030504040204"/>
    <w:charset w:val="88"/>
    <w:family w:val="auto"/>
    <w:pitch w:val="default"/>
    <w:sig w:usb0="00000001" w:usb1="00000000" w:usb2="00000000" w:usb3="00000000" w:csb0="001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B7DD">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6F26D">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6D36F26D">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E4BB5F0">
    <w:pPr>
      <w:pStyle w:val="15"/>
      <w:wordWrap w:val="0"/>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D6596">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C2E81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14:paraId="68C2E81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F544">
    <w:pPr>
      <w:pStyle w:val="16"/>
    </w:pPr>
    <w:r>
      <w:rPr>
        <w:rFonts w:hint="eastAsia"/>
        <w:sz w:val="48"/>
        <w:szCs w:val="4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12A6B">
    <w:pPr>
      <w:pStyle w:val="1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13658"/>
    <w:multiLevelType w:val="multilevel"/>
    <w:tmpl w:val="D6613658"/>
    <w:lvl w:ilvl="0" w:tentative="0">
      <w:start w:val="8"/>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3B696A51"/>
    <w:multiLevelType w:val="multilevel"/>
    <w:tmpl w:val="3B696A51"/>
    <w:lvl w:ilvl="0" w:tentative="0">
      <w:start w:val="1"/>
      <w:numFmt w:val="japaneseCounting"/>
      <w:lvlText w:val="第%1条"/>
      <w:lvlJc w:val="left"/>
      <w:pPr>
        <w:ind w:left="982" w:hanging="420"/>
      </w:pPr>
      <w:rPr>
        <w:rFonts w:hint="default"/>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413976FD"/>
    <w:multiLevelType w:val="singleLevel"/>
    <w:tmpl w:val="413976FD"/>
    <w:lvl w:ilvl="0" w:tentative="0">
      <w:start w:val="1"/>
      <w:numFmt w:val="chineseCounting"/>
      <w:suff w:val="space"/>
      <w:lvlText w:val="(%1)"/>
      <w:lvlJc w:val="left"/>
      <w:rPr>
        <w:rFonts w:hint="eastAsia"/>
      </w:rPr>
    </w:lvl>
  </w:abstractNum>
  <w:abstractNum w:abstractNumId="3">
    <w:nsid w:val="57B6B7F2"/>
    <w:multiLevelType w:val="singleLevel"/>
    <w:tmpl w:val="57B6B7F2"/>
    <w:lvl w:ilvl="0" w:tentative="0">
      <w:start w:val="1"/>
      <w:numFmt w:val="decimal"/>
      <w:suff w:val="nothing"/>
      <w:lvlText w:val="%1、"/>
      <w:lvlJc w:val="left"/>
      <w:rPr>
        <w:rFonts w:hint="default"/>
        <w:sz w:val="28"/>
        <w:szCs w:val="28"/>
      </w:rPr>
    </w:lvl>
  </w:abstractNum>
  <w:abstractNum w:abstractNumId="4">
    <w:nsid w:val="66DBAC71"/>
    <w:multiLevelType w:val="multilevel"/>
    <w:tmpl w:val="66DBAC7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8336385"/>
    <w:multiLevelType w:val="singleLevel"/>
    <w:tmpl w:val="68336385"/>
    <w:lvl w:ilvl="0" w:tentative="0">
      <w:start w:val="1"/>
      <w:numFmt w:val="decimal"/>
      <w:suff w:val="space"/>
      <w:lvlText w:val="%1)"/>
      <w:lvlJc w:val="left"/>
      <w:pPr>
        <w:ind w:left="640" w:firstLine="0"/>
      </w:pPr>
    </w:lvl>
  </w:abstractNum>
  <w:abstractNum w:abstractNumId="6">
    <w:nsid w:val="787610A7"/>
    <w:multiLevelType w:val="multilevel"/>
    <w:tmpl w:val="787610A7"/>
    <w:lvl w:ilvl="0" w:tentative="0">
      <w:start w:val="1"/>
      <w:numFmt w:val="japaneseCounting"/>
      <w:lvlText w:val="（%1）"/>
      <w:lvlJc w:val="left"/>
      <w:pPr>
        <w:ind w:left="1380" w:hanging="8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jBjNTlkYTQxZmJmMTIzMThlNjAxNjRlZjRjNWIifQ=="/>
  </w:docVars>
  <w:rsids>
    <w:rsidRoot w:val="00172A27"/>
    <w:rsid w:val="000C575B"/>
    <w:rsid w:val="00255C5F"/>
    <w:rsid w:val="0029101D"/>
    <w:rsid w:val="003D5FDB"/>
    <w:rsid w:val="00560123"/>
    <w:rsid w:val="005C1655"/>
    <w:rsid w:val="0065744D"/>
    <w:rsid w:val="006E5F96"/>
    <w:rsid w:val="006F775C"/>
    <w:rsid w:val="00840153"/>
    <w:rsid w:val="00987552"/>
    <w:rsid w:val="00A7470F"/>
    <w:rsid w:val="00B828F8"/>
    <w:rsid w:val="00C20AC0"/>
    <w:rsid w:val="00C660B4"/>
    <w:rsid w:val="00CB6EA8"/>
    <w:rsid w:val="00F03982"/>
    <w:rsid w:val="00F33C8A"/>
    <w:rsid w:val="00FD38C9"/>
    <w:rsid w:val="01124677"/>
    <w:rsid w:val="01317F77"/>
    <w:rsid w:val="01336206"/>
    <w:rsid w:val="014276B1"/>
    <w:rsid w:val="01981A12"/>
    <w:rsid w:val="019942DD"/>
    <w:rsid w:val="01D64594"/>
    <w:rsid w:val="01D67006"/>
    <w:rsid w:val="01DB7227"/>
    <w:rsid w:val="01EC714A"/>
    <w:rsid w:val="02006853"/>
    <w:rsid w:val="02386318"/>
    <w:rsid w:val="023E5FAE"/>
    <w:rsid w:val="0274392B"/>
    <w:rsid w:val="02FC046D"/>
    <w:rsid w:val="031E7D64"/>
    <w:rsid w:val="03375C37"/>
    <w:rsid w:val="03CA0026"/>
    <w:rsid w:val="03F37DA2"/>
    <w:rsid w:val="040E08E1"/>
    <w:rsid w:val="04171DE4"/>
    <w:rsid w:val="046C724A"/>
    <w:rsid w:val="04732C00"/>
    <w:rsid w:val="047C4AA8"/>
    <w:rsid w:val="04966FC5"/>
    <w:rsid w:val="04B42914"/>
    <w:rsid w:val="04E064A8"/>
    <w:rsid w:val="050C6111"/>
    <w:rsid w:val="058775EB"/>
    <w:rsid w:val="06313C06"/>
    <w:rsid w:val="06333389"/>
    <w:rsid w:val="06490808"/>
    <w:rsid w:val="06CB5E3F"/>
    <w:rsid w:val="06CC24CB"/>
    <w:rsid w:val="06DA77C8"/>
    <w:rsid w:val="06F23220"/>
    <w:rsid w:val="07093439"/>
    <w:rsid w:val="07101DDB"/>
    <w:rsid w:val="07190D4D"/>
    <w:rsid w:val="074926FC"/>
    <w:rsid w:val="07564784"/>
    <w:rsid w:val="078D3072"/>
    <w:rsid w:val="07AE285F"/>
    <w:rsid w:val="07B54CCA"/>
    <w:rsid w:val="07BC3B66"/>
    <w:rsid w:val="07C861DD"/>
    <w:rsid w:val="07D0012A"/>
    <w:rsid w:val="07E717AD"/>
    <w:rsid w:val="08192A89"/>
    <w:rsid w:val="0819344D"/>
    <w:rsid w:val="08253F8D"/>
    <w:rsid w:val="086A0A31"/>
    <w:rsid w:val="088570E4"/>
    <w:rsid w:val="08B51F40"/>
    <w:rsid w:val="08C33CDC"/>
    <w:rsid w:val="08D64A96"/>
    <w:rsid w:val="090C7B53"/>
    <w:rsid w:val="09260706"/>
    <w:rsid w:val="095429DE"/>
    <w:rsid w:val="09775167"/>
    <w:rsid w:val="09965BCC"/>
    <w:rsid w:val="09B96321"/>
    <w:rsid w:val="09E409DC"/>
    <w:rsid w:val="09F0578B"/>
    <w:rsid w:val="0A4B7E0E"/>
    <w:rsid w:val="0A7102A7"/>
    <w:rsid w:val="0AD35FE2"/>
    <w:rsid w:val="0AD73193"/>
    <w:rsid w:val="0B3E2D37"/>
    <w:rsid w:val="0B440824"/>
    <w:rsid w:val="0B5F3979"/>
    <w:rsid w:val="0B7015F3"/>
    <w:rsid w:val="0B8B67D5"/>
    <w:rsid w:val="0BEC53AB"/>
    <w:rsid w:val="0BED20E9"/>
    <w:rsid w:val="0C0D2B14"/>
    <w:rsid w:val="0C235F6C"/>
    <w:rsid w:val="0C334CD6"/>
    <w:rsid w:val="0CEE6DFB"/>
    <w:rsid w:val="0CF30733"/>
    <w:rsid w:val="0D2F6F8B"/>
    <w:rsid w:val="0D371522"/>
    <w:rsid w:val="0D5479B5"/>
    <w:rsid w:val="0D8B2651"/>
    <w:rsid w:val="0DE87537"/>
    <w:rsid w:val="0DEF72BA"/>
    <w:rsid w:val="0E300D3A"/>
    <w:rsid w:val="0E61280D"/>
    <w:rsid w:val="0E8A0ED8"/>
    <w:rsid w:val="0ECD6ED7"/>
    <w:rsid w:val="0F0B314E"/>
    <w:rsid w:val="0F0F3D8D"/>
    <w:rsid w:val="0F782F8E"/>
    <w:rsid w:val="0FA91D5C"/>
    <w:rsid w:val="0FAA2F12"/>
    <w:rsid w:val="0FE11F47"/>
    <w:rsid w:val="103E032B"/>
    <w:rsid w:val="10614F2A"/>
    <w:rsid w:val="10A374F7"/>
    <w:rsid w:val="10BC1F0F"/>
    <w:rsid w:val="10C74A23"/>
    <w:rsid w:val="10CC1DBF"/>
    <w:rsid w:val="10F24082"/>
    <w:rsid w:val="112615A0"/>
    <w:rsid w:val="11516725"/>
    <w:rsid w:val="115B008D"/>
    <w:rsid w:val="115D2A58"/>
    <w:rsid w:val="11620863"/>
    <w:rsid w:val="11DF34F2"/>
    <w:rsid w:val="11FC2705"/>
    <w:rsid w:val="12222279"/>
    <w:rsid w:val="1227225C"/>
    <w:rsid w:val="12AF6D61"/>
    <w:rsid w:val="12DC7A01"/>
    <w:rsid w:val="132F7A7A"/>
    <w:rsid w:val="13394EA9"/>
    <w:rsid w:val="13707209"/>
    <w:rsid w:val="137A28D3"/>
    <w:rsid w:val="13C04563"/>
    <w:rsid w:val="13C56C9E"/>
    <w:rsid w:val="13D761EC"/>
    <w:rsid w:val="13E952CB"/>
    <w:rsid w:val="149A4981"/>
    <w:rsid w:val="14A16CA5"/>
    <w:rsid w:val="151061A5"/>
    <w:rsid w:val="15202DD8"/>
    <w:rsid w:val="15273583"/>
    <w:rsid w:val="15432BEE"/>
    <w:rsid w:val="15442395"/>
    <w:rsid w:val="15725BF5"/>
    <w:rsid w:val="157E234E"/>
    <w:rsid w:val="15D16FCA"/>
    <w:rsid w:val="15FF78F0"/>
    <w:rsid w:val="160867F1"/>
    <w:rsid w:val="164769AC"/>
    <w:rsid w:val="166B4C22"/>
    <w:rsid w:val="17115E74"/>
    <w:rsid w:val="17130E26"/>
    <w:rsid w:val="172B419E"/>
    <w:rsid w:val="17316BAE"/>
    <w:rsid w:val="17863A56"/>
    <w:rsid w:val="178F39B4"/>
    <w:rsid w:val="17A011D6"/>
    <w:rsid w:val="17B067AD"/>
    <w:rsid w:val="17B92853"/>
    <w:rsid w:val="17CE3D90"/>
    <w:rsid w:val="17FD796F"/>
    <w:rsid w:val="18046F98"/>
    <w:rsid w:val="180B7DD3"/>
    <w:rsid w:val="181C7D41"/>
    <w:rsid w:val="181E72B9"/>
    <w:rsid w:val="18245218"/>
    <w:rsid w:val="18265BD0"/>
    <w:rsid w:val="1865275A"/>
    <w:rsid w:val="18824AA2"/>
    <w:rsid w:val="18896B61"/>
    <w:rsid w:val="189267BF"/>
    <w:rsid w:val="18AC48A1"/>
    <w:rsid w:val="18CD3258"/>
    <w:rsid w:val="198A0CF9"/>
    <w:rsid w:val="1A0738C1"/>
    <w:rsid w:val="1A391693"/>
    <w:rsid w:val="1A5A360E"/>
    <w:rsid w:val="1A5B3353"/>
    <w:rsid w:val="1A6B3BF0"/>
    <w:rsid w:val="1A7A1B0B"/>
    <w:rsid w:val="1ABA1161"/>
    <w:rsid w:val="1ACC634A"/>
    <w:rsid w:val="1B010E45"/>
    <w:rsid w:val="1B4713E9"/>
    <w:rsid w:val="1B8363DB"/>
    <w:rsid w:val="1B8D69D9"/>
    <w:rsid w:val="1BCA130C"/>
    <w:rsid w:val="1BEF25DD"/>
    <w:rsid w:val="1C047720"/>
    <w:rsid w:val="1C3D39A4"/>
    <w:rsid w:val="1CC125CF"/>
    <w:rsid w:val="1CC71C08"/>
    <w:rsid w:val="1CCA2EF0"/>
    <w:rsid w:val="1CD45338"/>
    <w:rsid w:val="1CF22933"/>
    <w:rsid w:val="1CFB6C8F"/>
    <w:rsid w:val="1D3321E3"/>
    <w:rsid w:val="1D3C454F"/>
    <w:rsid w:val="1D6C0DA9"/>
    <w:rsid w:val="1D792A16"/>
    <w:rsid w:val="1DA7248F"/>
    <w:rsid w:val="1DC4528E"/>
    <w:rsid w:val="1E2603A9"/>
    <w:rsid w:val="1E781376"/>
    <w:rsid w:val="1E8D1301"/>
    <w:rsid w:val="1E924278"/>
    <w:rsid w:val="1E9D6BED"/>
    <w:rsid w:val="1EBA4F49"/>
    <w:rsid w:val="1ED15D0B"/>
    <w:rsid w:val="1EEB2E12"/>
    <w:rsid w:val="1EF00677"/>
    <w:rsid w:val="1F0D407A"/>
    <w:rsid w:val="1F2E5F00"/>
    <w:rsid w:val="1F370DB9"/>
    <w:rsid w:val="1F3C7810"/>
    <w:rsid w:val="1F3F58CC"/>
    <w:rsid w:val="1FA02123"/>
    <w:rsid w:val="1FC028BD"/>
    <w:rsid w:val="200B74F9"/>
    <w:rsid w:val="201A7A26"/>
    <w:rsid w:val="2041585A"/>
    <w:rsid w:val="205343E8"/>
    <w:rsid w:val="205B78C9"/>
    <w:rsid w:val="20A73AD2"/>
    <w:rsid w:val="20D017CD"/>
    <w:rsid w:val="20DE4CE7"/>
    <w:rsid w:val="20FB061F"/>
    <w:rsid w:val="214B0C19"/>
    <w:rsid w:val="2153798C"/>
    <w:rsid w:val="215C2065"/>
    <w:rsid w:val="217253FC"/>
    <w:rsid w:val="21DB7ED6"/>
    <w:rsid w:val="21E760D9"/>
    <w:rsid w:val="22432D68"/>
    <w:rsid w:val="22D26266"/>
    <w:rsid w:val="22FB4238"/>
    <w:rsid w:val="23071AD3"/>
    <w:rsid w:val="231A4DD2"/>
    <w:rsid w:val="23DD3304"/>
    <w:rsid w:val="23EE1074"/>
    <w:rsid w:val="23EF26C8"/>
    <w:rsid w:val="23FB0F6A"/>
    <w:rsid w:val="2449670F"/>
    <w:rsid w:val="24D93365"/>
    <w:rsid w:val="24E15384"/>
    <w:rsid w:val="2502184D"/>
    <w:rsid w:val="25044DF0"/>
    <w:rsid w:val="25143850"/>
    <w:rsid w:val="251E185F"/>
    <w:rsid w:val="254C2283"/>
    <w:rsid w:val="257100D2"/>
    <w:rsid w:val="25B96535"/>
    <w:rsid w:val="25F04F9A"/>
    <w:rsid w:val="266F7EE2"/>
    <w:rsid w:val="269B5FB8"/>
    <w:rsid w:val="2731193A"/>
    <w:rsid w:val="2742264B"/>
    <w:rsid w:val="27441AA0"/>
    <w:rsid w:val="275A32CD"/>
    <w:rsid w:val="2778531C"/>
    <w:rsid w:val="28944F29"/>
    <w:rsid w:val="28AB7D7F"/>
    <w:rsid w:val="28CF6C5F"/>
    <w:rsid w:val="292E25FD"/>
    <w:rsid w:val="29477193"/>
    <w:rsid w:val="298E65D5"/>
    <w:rsid w:val="299659D3"/>
    <w:rsid w:val="299853BE"/>
    <w:rsid w:val="29AD4265"/>
    <w:rsid w:val="29CE01FE"/>
    <w:rsid w:val="29E737F5"/>
    <w:rsid w:val="29FA436F"/>
    <w:rsid w:val="29FD5097"/>
    <w:rsid w:val="2AE77A5B"/>
    <w:rsid w:val="2AF16AE6"/>
    <w:rsid w:val="2B93098D"/>
    <w:rsid w:val="2BB43662"/>
    <w:rsid w:val="2BE45D32"/>
    <w:rsid w:val="2BFC188D"/>
    <w:rsid w:val="2C0B0850"/>
    <w:rsid w:val="2C2F13D3"/>
    <w:rsid w:val="2C680F2C"/>
    <w:rsid w:val="2C8E49C2"/>
    <w:rsid w:val="2CE54B6D"/>
    <w:rsid w:val="2CED41FF"/>
    <w:rsid w:val="2D152472"/>
    <w:rsid w:val="2D7E6B92"/>
    <w:rsid w:val="2DB9274B"/>
    <w:rsid w:val="2DDD5C8A"/>
    <w:rsid w:val="2DE03CCA"/>
    <w:rsid w:val="2E075A2A"/>
    <w:rsid w:val="2E18169A"/>
    <w:rsid w:val="2E530F39"/>
    <w:rsid w:val="2E616E66"/>
    <w:rsid w:val="2E86034F"/>
    <w:rsid w:val="2EB10CE1"/>
    <w:rsid w:val="2EC34982"/>
    <w:rsid w:val="2EC83711"/>
    <w:rsid w:val="2ED855E3"/>
    <w:rsid w:val="2EE43188"/>
    <w:rsid w:val="2F776FDA"/>
    <w:rsid w:val="2FA806F9"/>
    <w:rsid w:val="2FAF3DB4"/>
    <w:rsid w:val="2FD35A0B"/>
    <w:rsid w:val="2FFE7129"/>
    <w:rsid w:val="30196404"/>
    <w:rsid w:val="303C7ACB"/>
    <w:rsid w:val="304B5F67"/>
    <w:rsid w:val="30904D92"/>
    <w:rsid w:val="30B72B60"/>
    <w:rsid w:val="30F9525D"/>
    <w:rsid w:val="3127206C"/>
    <w:rsid w:val="313A1BE7"/>
    <w:rsid w:val="314F4E39"/>
    <w:rsid w:val="31997C9B"/>
    <w:rsid w:val="319A5C12"/>
    <w:rsid w:val="31B80039"/>
    <w:rsid w:val="31E2191F"/>
    <w:rsid w:val="31E77159"/>
    <w:rsid w:val="320207D0"/>
    <w:rsid w:val="320F01D5"/>
    <w:rsid w:val="325E6770"/>
    <w:rsid w:val="32947DF7"/>
    <w:rsid w:val="32BB12FA"/>
    <w:rsid w:val="32DE75D6"/>
    <w:rsid w:val="331734FE"/>
    <w:rsid w:val="333E2D74"/>
    <w:rsid w:val="33994400"/>
    <w:rsid w:val="33BA4F73"/>
    <w:rsid w:val="33C10F48"/>
    <w:rsid w:val="34000F51"/>
    <w:rsid w:val="344B7329"/>
    <w:rsid w:val="34C05684"/>
    <w:rsid w:val="352232E8"/>
    <w:rsid w:val="35225444"/>
    <w:rsid w:val="35397363"/>
    <w:rsid w:val="354F3EEC"/>
    <w:rsid w:val="358E5E86"/>
    <w:rsid w:val="35903D37"/>
    <w:rsid w:val="3639217D"/>
    <w:rsid w:val="36662F74"/>
    <w:rsid w:val="369352F4"/>
    <w:rsid w:val="36BB6818"/>
    <w:rsid w:val="372D5A13"/>
    <w:rsid w:val="373B7311"/>
    <w:rsid w:val="3750153A"/>
    <w:rsid w:val="37830913"/>
    <w:rsid w:val="379B4C45"/>
    <w:rsid w:val="38053D1D"/>
    <w:rsid w:val="385234C5"/>
    <w:rsid w:val="38A67E7F"/>
    <w:rsid w:val="38BC6A64"/>
    <w:rsid w:val="38C52B98"/>
    <w:rsid w:val="38F80031"/>
    <w:rsid w:val="391A088C"/>
    <w:rsid w:val="391E7D5F"/>
    <w:rsid w:val="39737F8A"/>
    <w:rsid w:val="39740D39"/>
    <w:rsid w:val="39754F24"/>
    <w:rsid w:val="39B04A92"/>
    <w:rsid w:val="39B87D6C"/>
    <w:rsid w:val="39D2763C"/>
    <w:rsid w:val="39D75BCC"/>
    <w:rsid w:val="39D939C1"/>
    <w:rsid w:val="39DB7F7D"/>
    <w:rsid w:val="39EF5689"/>
    <w:rsid w:val="3A1227D7"/>
    <w:rsid w:val="3A1E5D66"/>
    <w:rsid w:val="3A4B519A"/>
    <w:rsid w:val="3A9455F2"/>
    <w:rsid w:val="3AF233F9"/>
    <w:rsid w:val="3B02781A"/>
    <w:rsid w:val="3B6938E2"/>
    <w:rsid w:val="3B760316"/>
    <w:rsid w:val="3B936C5D"/>
    <w:rsid w:val="3BA04D68"/>
    <w:rsid w:val="3BBA46A8"/>
    <w:rsid w:val="3BE43DF2"/>
    <w:rsid w:val="3C7742D3"/>
    <w:rsid w:val="3C814F13"/>
    <w:rsid w:val="3CAC2455"/>
    <w:rsid w:val="3CEB2A7E"/>
    <w:rsid w:val="3D2A326B"/>
    <w:rsid w:val="3D315F14"/>
    <w:rsid w:val="3D4675B3"/>
    <w:rsid w:val="3D7018CB"/>
    <w:rsid w:val="3DA3470B"/>
    <w:rsid w:val="3DC015A9"/>
    <w:rsid w:val="3DC42064"/>
    <w:rsid w:val="3DC77723"/>
    <w:rsid w:val="3E0839C6"/>
    <w:rsid w:val="3E18216E"/>
    <w:rsid w:val="3E875977"/>
    <w:rsid w:val="3ED948C3"/>
    <w:rsid w:val="3F1B5AE8"/>
    <w:rsid w:val="3F3E5679"/>
    <w:rsid w:val="3F517052"/>
    <w:rsid w:val="3FF35B5D"/>
    <w:rsid w:val="403057AD"/>
    <w:rsid w:val="405F451F"/>
    <w:rsid w:val="40987202"/>
    <w:rsid w:val="410B54F1"/>
    <w:rsid w:val="412E1BB1"/>
    <w:rsid w:val="416A3C4C"/>
    <w:rsid w:val="42744C1D"/>
    <w:rsid w:val="427A2592"/>
    <w:rsid w:val="429D05E5"/>
    <w:rsid w:val="42AD6FD6"/>
    <w:rsid w:val="42C94351"/>
    <w:rsid w:val="42FA74B4"/>
    <w:rsid w:val="43295156"/>
    <w:rsid w:val="43C03588"/>
    <w:rsid w:val="43D94321"/>
    <w:rsid w:val="43EE5B8A"/>
    <w:rsid w:val="442069BE"/>
    <w:rsid w:val="44446282"/>
    <w:rsid w:val="445616E4"/>
    <w:rsid w:val="446409B5"/>
    <w:rsid w:val="448A61AA"/>
    <w:rsid w:val="45894854"/>
    <w:rsid w:val="45B4608C"/>
    <w:rsid w:val="46383D26"/>
    <w:rsid w:val="46424446"/>
    <w:rsid w:val="464D312E"/>
    <w:rsid w:val="46B94A56"/>
    <w:rsid w:val="46BA772E"/>
    <w:rsid w:val="46C35710"/>
    <w:rsid w:val="474B5B7A"/>
    <w:rsid w:val="474F143A"/>
    <w:rsid w:val="475E378C"/>
    <w:rsid w:val="47915563"/>
    <w:rsid w:val="47E774C6"/>
    <w:rsid w:val="48EE5022"/>
    <w:rsid w:val="48F046CF"/>
    <w:rsid w:val="490F544C"/>
    <w:rsid w:val="49975E78"/>
    <w:rsid w:val="499A7B71"/>
    <w:rsid w:val="49C621B5"/>
    <w:rsid w:val="49DF19D1"/>
    <w:rsid w:val="49EB7F95"/>
    <w:rsid w:val="4A0411FF"/>
    <w:rsid w:val="4A262C03"/>
    <w:rsid w:val="4A5D70EB"/>
    <w:rsid w:val="4A713C61"/>
    <w:rsid w:val="4A747786"/>
    <w:rsid w:val="4AB045A7"/>
    <w:rsid w:val="4ACE1FBD"/>
    <w:rsid w:val="4AF155C9"/>
    <w:rsid w:val="4B110071"/>
    <w:rsid w:val="4B46141E"/>
    <w:rsid w:val="4B926454"/>
    <w:rsid w:val="4BA7400A"/>
    <w:rsid w:val="4BA82BC6"/>
    <w:rsid w:val="4BAB00BD"/>
    <w:rsid w:val="4BC42FCB"/>
    <w:rsid w:val="4BEB02D1"/>
    <w:rsid w:val="4BEE42E8"/>
    <w:rsid w:val="4C1C0656"/>
    <w:rsid w:val="4C2404CB"/>
    <w:rsid w:val="4C3E28C7"/>
    <w:rsid w:val="4C4232FC"/>
    <w:rsid w:val="4C5174C5"/>
    <w:rsid w:val="4C6B39EF"/>
    <w:rsid w:val="4C8B4160"/>
    <w:rsid w:val="4CA5425F"/>
    <w:rsid w:val="4CB97CAA"/>
    <w:rsid w:val="4CCF74E0"/>
    <w:rsid w:val="4D1C7462"/>
    <w:rsid w:val="4D72000D"/>
    <w:rsid w:val="4D807369"/>
    <w:rsid w:val="4D9D1222"/>
    <w:rsid w:val="4DCA176A"/>
    <w:rsid w:val="4E1D0E82"/>
    <w:rsid w:val="4E5F4F4E"/>
    <w:rsid w:val="4EB32E9A"/>
    <w:rsid w:val="4EC2427D"/>
    <w:rsid w:val="4F074484"/>
    <w:rsid w:val="4F252872"/>
    <w:rsid w:val="4F273FFF"/>
    <w:rsid w:val="4F2D347D"/>
    <w:rsid w:val="4F3B63C2"/>
    <w:rsid w:val="4F527634"/>
    <w:rsid w:val="4F7B7DFC"/>
    <w:rsid w:val="4F8053A7"/>
    <w:rsid w:val="4F844869"/>
    <w:rsid w:val="50527969"/>
    <w:rsid w:val="50974432"/>
    <w:rsid w:val="50A12369"/>
    <w:rsid w:val="50B13D07"/>
    <w:rsid w:val="50BD6861"/>
    <w:rsid w:val="50F32B7A"/>
    <w:rsid w:val="51A0172A"/>
    <w:rsid w:val="51CE5E35"/>
    <w:rsid w:val="51E26515"/>
    <w:rsid w:val="520D4C4F"/>
    <w:rsid w:val="522175AF"/>
    <w:rsid w:val="52826E11"/>
    <w:rsid w:val="52AF1A71"/>
    <w:rsid w:val="52B82FDC"/>
    <w:rsid w:val="52BA77F7"/>
    <w:rsid w:val="52E368E0"/>
    <w:rsid w:val="530C42D2"/>
    <w:rsid w:val="531D3C87"/>
    <w:rsid w:val="5371012E"/>
    <w:rsid w:val="53A75E29"/>
    <w:rsid w:val="53DC056D"/>
    <w:rsid w:val="53EA2700"/>
    <w:rsid w:val="53F420B3"/>
    <w:rsid w:val="540B5020"/>
    <w:rsid w:val="540E00C3"/>
    <w:rsid w:val="5475669F"/>
    <w:rsid w:val="54A035F5"/>
    <w:rsid w:val="54CA1B99"/>
    <w:rsid w:val="54F91B6A"/>
    <w:rsid w:val="55700B37"/>
    <w:rsid w:val="560018C8"/>
    <w:rsid w:val="560F0311"/>
    <w:rsid w:val="5611267C"/>
    <w:rsid w:val="562F48DF"/>
    <w:rsid w:val="566E1A7A"/>
    <w:rsid w:val="56C53206"/>
    <w:rsid w:val="56C76FFA"/>
    <w:rsid w:val="56D43297"/>
    <w:rsid w:val="56F856D8"/>
    <w:rsid w:val="573444B2"/>
    <w:rsid w:val="57662AE7"/>
    <w:rsid w:val="57E20807"/>
    <w:rsid w:val="57ED2829"/>
    <w:rsid w:val="57FF126B"/>
    <w:rsid w:val="58277E01"/>
    <w:rsid w:val="582D6290"/>
    <w:rsid w:val="584E692B"/>
    <w:rsid w:val="585F0903"/>
    <w:rsid w:val="587D2383"/>
    <w:rsid w:val="58B05D18"/>
    <w:rsid w:val="58B9128D"/>
    <w:rsid w:val="58BF1ACE"/>
    <w:rsid w:val="58C320E4"/>
    <w:rsid w:val="58E03505"/>
    <w:rsid w:val="58EB2288"/>
    <w:rsid w:val="597A6EDE"/>
    <w:rsid w:val="5A350929"/>
    <w:rsid w:val="5A41520F"/>
    <w:rsid w:val="5A6C14DA"/>
    <w:rsid w:val="5A8D1A3C"/>
    <w:rsid w:val="5A9B5DCF"/>
    <w:rsid w:val="5AB535F4"/>
    <w:rsid w:val="5AB90E4B"/>
    <w:rsid w:val="5AD87791"/>
    <w:rsid w:val="5B8E3D8D"/>
    <w:rsid w:val="5BBD30C7"/>
    <w:rsid w:val="5C7F1B38"/>
    <w:rsid w:val="5CAD0F6D"/>
    <w:rsid w:val="5D091AF3"/>
    <w:rsid w:val="5D0D5172"/>
    <w:rsid w:val="5D47777C"/>
    <w:rsid w:val="5D6B6CE6"/>
    <w:rsid w:val="5D8F70B4"/>
    <w:rsid w:val="5D9E76D8"/>
    <w:rsid w:val="5DF062B6"/>
    <w:rsid w:val="5DF119D9"/>
    <w:rsid w:val="5DFD3CAB"/>
    <w:rsid w:val="5E0569A9"/>
    <w:rsid w:val="5E280D84"/>
    <w:rsid w:val="5E4D691B"/>
    <w:rsid w:val="5E4F3BDB"/>
    <w:rsid w:val="5E5A5185"/>
    <w:rsid w:val="5E6336DF"/>
    <w:rsid w:val="5EB42977"/>
    <w:rsid w:val="5EBD5299"/>
    <w:rsid w:val="5ED278D3"/>
    <w:rsid w:val="5F09749A"/>
    <w:rsid w:val="601E3881"/>
    <w:rsid w:val="60536E3C"/>
    <w:rsid w:val="60544B2C"/>
    <w:rsid w:val="60A2410D"/>
    <w:rsid w:val="60CE075D"/>
    <w:rsid w:val="60D853F4"/>
    <w:rsid w:val="6137300F"/>
    <w:rsid w:val="62262C4E"/>
    <w:rsid w:val="62294564"/>
    <w:rsid w:val="62701792"/>
    <w:rsid w:val="6288046D"/>
    <w:rsid w:val="62990FE6"/>
    <w:rsid w:val="62AF6A75"/>
    <w:rsid w:val="62B30B30"/>
    <w:rsid w:val="62BE2C0A"/>
    <w:rsid w:val="62FC6387"/>
    <w:rsid w:val="631D73A2"/>
    <w:rsid w:val="6325663D"/>
    <w:rsid w:val="63566461"/>
    <w:rsid w:val="63C1118E"/>
    <w:rsid w:val="641E3B19"/>
    <w:rsid w:val="64881634"/>
    <w:rsid w:val="64983F88"/>
    <w:rsid w:val="64F01378"/>
    <w:rsid w:val="6525131B"/>
    <w:rsid w:val="65AB285B"/>
    <w:rsid w:val="6636470F"/>
    <w:rsid w:val="664A47B6"/>
    <w:rsid w:val="665879CA"/>
    <w:rsid w:val="667271A8"/>
    <w:rsid w:val="66C47251"/>
    <w:rsid w:val="66C56F4C"/>
    <w:rsid w:val="66E523E0"/>
    <w:rsid w:val="67074E48"/>
    <w:rsid w:val="671F4640"/>
    <w:rsid w:val="67246F89"/>
    <w:rsid w:val="67630127"/>
    <w:rsid w:val="676A3296"/>
    <w:rsid w:val="677F170C"/>
    <w:rsid w:val="68247A41"/>
    <w:rsid w:val="682A4A38"/>
    <w:rsid w:val="68417139"/>
    <w:rsid w:val="684347AC"/>
    <w:rsid w:val="685565DC"/>
    <w:rsid w:val="688558D3"/>
    <w:rsid w:val="68975496"/>
    <w:rsid w:val="68A50DEF"/>
    <w:rsid w:val="68BF275E"/>
    <w:rsid w:val="69086595"/>
    <w:rsid w:val="6912771D"/>
    <w:rsid w:val="694C233B"/>
    <w:rsid w:val="696F2B99"/>
    <w:rsid w:val="69797A7E"/>
    <w:rsid w:val="69A421AA"/>
    <w:rsid w:val="69DE7549"/>
    <w:rsid w:val="6A050965"/>
    <w:rsid w:val="6A173A64"/>
    <w:rsid w:val="6AB14943"/>
    <w:rsid w:val="6AB22668"/>
    <w:rsid w:val="6AC66E3E"/>
    <w:rsid w:val="6ADB4BCA"/>
    <w:rsid w:val="6ADF4E83"/>
    <w:rsid w:val="6B37579E"/>
    <w:rsid w:val="6B3A4106"/>
    <w:rsid w:val="6B5459CD"/>
    <w:rsid w:val="6B565FC0"/>
    <w:rsid w:val="6B6D2EAA"/>
    <w:rsid w:val="6B7A75A6"/>
    <w:rsid w:val="6B885778"/>
    <w:rsid w:val="6BE750DA"/>
    <w:rsid w:val="6C321622"/>
    <w:rsid w:val="6C537F7C"/>
    <w:rsid w:val="6C727F37"/>
    <w:rsid w:val="6C7C02E3"/>
    <w:rsid w:val="6C83616C"/>
    <w:rsid w:val="6C944B4E"/>
    <w:rsid w:val="6CCE4AC9"/>
    <w:rsid w:val="6CDB5C24"/>
    <w:rsid w:val="6CE478F2"/>
    <w:rsid w:val="6D077A82"/>
    <w:rsid w:val="6D8944F5"/>
    <w:rsid w:val="6E1D76B8"/>
    <w:rsid w:val="6E255672"/>
    <w:rsid w:val="6E3E0403"/>
    <w:rsid w:val="6E4E19FE"/>
    <w:rsid w:val="6E7E50C7"/>
    <w:rsid w:val="6EDF5A1A"/>
    <w:rsid w:val="6EFC51DB"/>
    <w:rsid w:val="6EFC76BB"/>
    <w:rsid w:val="6F130889"/>
    <w:rsid w:val="6F6440C4"/>
    <w:rsid w:val="6FA95F97"/>
    <w:rsid w:val="6FD32E8B"/>
    <w:rsid w:val="702B6C0A"/>
    <w:rsid w:val="70A454C3"/>
    <w:rsid w:val="70B0373F"/>
    <w:rsid w:val="70B95732"/>
    <w:rsid w:val="70F107FF"/>
    <w:rsid w:val="70FB414E"/>
    <w:rsid w:val="71172E55"/>
    <w:rsid w:val="71505E72"/>
    <w:rsid w:val="71BF1065"/>
    <w:rsid w:val="71EF2B1A"/>
    <w:rsid w:val="72981D32"/>
    <w:rsid w:val="72A91502"/>
    <w:rsid w:val="72A96E9C"/>
    <w:rsid w:val="72D958CC"/>
    <w:rsid w:val="73171EC1"/>
    <w:rsid w:val="73357E06"/>
    <w:rsid w:val="737A244E"/>
    <w:rsid w:val="73D00AD6"/>
    <w:rsid w:val="73E062EB"/>
    <w:rsid w:val="74697795"/>
    <w:rsid w:val="74712CFA"/>
    <w:rsid w:val="75107D5E"/>
    <w:rsid w:val="7574407E"/>
    <w:rsid w:val="758011A0"/>
    <w:rsid w:val="75821644"/>
    <w:rsid w:val="75A25ECC"/>
    <w:rsid w:val="75D00F6D"/>
    <w:rsid w:val="761949F1"/>
    <w:rsid w:val="763C56C5"/>
    <w:rsid w:val="76411810"/>
    <w:rsid w:val="764C6CFE"/>
    <w:rsid w:val="76731E0E"/>
    <w:rsid w:val="76FC583F"/>
    <w:rsid w:val="77331EEF"/>
    <w:rsid w:val="77373EC1"/>
    <w:rsid w:val="77724468"/>
    <w:rsid w:val="778D4A97"/>
    <w:rsid w:val="77A27924"/>
    <w:rsid w:val="77AB23EF"/>
    <w:rsid w:val="77B11343"/>
    <w:rsid w:val="77CD5F12"/>
    <w:rsid w:val="77EC59C1"/>
    <w:rsid w:val="781E7E5B"/>
    <w:rsid w:val="78A135DD"/>
    <w:rsid w:val="78A54B4E"/>
    <w:rsid w:val="791313AF"/>
    <w:rsid w:val="797E7C8C"/>
    <w:rsid w:val="79A6628E"/>
    <w:rsid w:val="79B61CB4"/>
    <w:rsid w:val="79B81B1D"/>
    <w:rsid w:val="79C663B8"/>
    <w:rsid w:val="7AA604C4"/>
    <w:rsid w:val="7AE76209"/>
    <w:rsid w:val="7B130BB3"/>
    <w:rsid w:val="7B1A6621"/>
    <w:rsid w:val="7CE352D4"/>
    <w:rsid w:val="7D4C5893"/>
    <w:rsid w:val="7D723327"/>
    <w:rsid w:val="7D754395"/>
    <w:rsid w:val="7D7A1B61"/>
    <w:rsid w:val="7D9540F6"/>
    <w:rsid w:val="7D9542D8"/>
    <w:rsid w:val="7DCF13A0"/>
    <w:rsid w:val="7DDA0FB8"/>
    <w:rsid w:val="7E3F6438"/>
    <w:rsid w:val="7E404666"/>
    <w:rsid w:val="7E496629"/>
    <w:rsid w:val="7E720771"/>
    <w:rsid w:val="7E8849A6"/>
    <w:rsid w:val="7EA45C50"/>
    <w:rsid w:val="7EE805F4"/>
    <w:rsid w:val="7F0C7373"/>
    <w:rsid w:val="7F2A452A"/>
    <w:rsid w:val="7F4B73C3"/>
    <w:rsid w:val="7F927A0C"/>
    <w:rsid w:val="7FB3241F"/>
    <w:rsid w:val="7FC71532"/>
    <w:rsid w:val="7FCC7DBE"/>
    <w:rsid w:val="7FDE652D"/>
    <w:rsid w:val="7FED4B5F"/>
    <w:rsid w:val="7FF619A8"/>
    <w:rsid w:val="7FF70803"/>
    <w:rsid w:val="7FF97A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0"/>
      <w:jc w:val="both"/>
      <w:outlineLvl w:val="0"/>
    </w:pPr>
    <w:rPr>
      <w:rFonts w:hAnsi="宋体"/>
      <w:b/>
      <w:kern w:val="44"/>
      <w:sz w:val="32"/>
    </w:rPr>
  </w:style>
  <w:style w:type="paragraph" w:styleId="3">
    <w:name w:val="heading 2"/>
    <w:basedOn w:val="1"/>
    <w:next w:val="4"/>
    <w:qFormat/>
    <w:uiPriority w:val="0"/>
    <w:pPr>
      <w:keepNext/>
      <w:keepLines/>
      <w:spacing w:before="260" w:after="260" w:line="416" w:lineRule="atLeast"/>
      <w:ind w:firstLine="0"/>
      <w:outlineLvl w:val="1"/>
    </w:pPr>
    <w:rPr>
      <w:rFonts w:hAnsi="Arial"/>
      <w:b/>
      <w:sz w:val="28"/>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5"/>
    <w:basedOn w:val="1"/>
    <w:next w:val="1"/>
    <w:qFormat/>
    <w:uiPriority w:val="0"/>
    <w:pPr>
      <w:keepNext/>
      <w:keepLines/>
      <w:spacing w:before="280" w:beforeLines="0" w:after="290" w:afterLines="0" w:line="376" w:lineRule="auto"/>
      <w:outlineLvl w:val="4"/>
    </w:pPr>
    <w:rPr>
      <w:b/>
      <w:bCs/>
      <w:sz w:val="28"/>
      <w:szCs w:val="28"/>
    </w:rPr>
  </w:style>
  <w:style w:type="character" w:default="1" w:styleId="24">
    <w:name w:val="Default Paragraph Font"/>
    <w:qFormat/>
    <w:uiPriority w:val="0"/>
    <w:rPr>
      <w:kern w:val="2"/>
      <w:sz w:val="21"/>
      <w:szCs w:val="21"/>
    </w:rPr>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w:basedOn w:val="1"/>
    <w:next w:val="9"/>
    <w:qFormat/>
    <w:uiPriority w:val="0"/>
    <w:pPr>
      <w:widowControl w:val="0"/>
      <w:jc w:val="both"/>
    </w:pPr>
    <w:rPr>
      <w:color w:val="FF0000"/>
      <w:kern w:val="2"/>
      <w:szCs w:val="20"/>
    </w:rPr>
  </w:style>
  <w:style w:type="paragraph" w:styleId="9">
    <w:name w:val="Body Text 2"/>
    <w:basedOn w:val="1"/>
    <w:next w:val="8"/>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10">
    <w:name w:val="Body Text Indent"/>
    <w:basedOn w:val="1"/>
    <w:next w:val="11"/>
    <w:semiHidden/>
    <w:qFormat/>
    <w:uiPriority w:val="0"/>
    <w:pPr>
      <w:spacing w:line="520" w:lineRule="exact"/>
      <w:ind w:firstLine="549" w:firstLineChars="200"/>
    </w:pPr>
    <w:rPr>
      <w:rFonts w:ascii="宋体"/>
      <w:color w:val="FF00FF"/>
      <w:sz w:val="28"/>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0"/>
    <w:pPr>
      <w:tabs>
        <w:tab w:val="left" w:pos="6480"/>
      </w:tabs>
      <w:spacing w:line="360" w:lineRule="auto"/>
      <w:ind w:left="899" w:leftChars="428" w:right="244" w:rightChars="116" w:firstLine="480" w:firstLineChars="200"/>
    </w:pPr>
  </w:style>
  <w:style w:type="paragraph" w:styleId="13">
    <w:name w:val="Plain Text"/>
    <w:basedOn w:val="1"/>
    <w:unhideWhenUsed/>
    <w:qFormat/>
    <w:uiPriority w:val="99"/>
    <w:pPr>
      <w:widowControl w:val="0"/>
      <w:jc w:val="both"/>
    </w:pPr>
    <w:rPr>
      <w:rFonts w:ascii="宋体" w:hAnsi="Courier New"/>
      <w:kern w:val="2"/>
    </w:rPr>
  </w:style>
  <w:style w:type="paragraph" w:styleId="14">
    <w:name w:val="Date"/>
    <w:basedOn w:val="1"/>
    <w:next w:val="1"/>
    <w:qFormat/>
    <w:uiPriority w:val="0"/>
    <w:pPr>
      <w:spacing w:line="360" w:lineRule="atLeast"/>
      <w:ind w:firstLine="0"/>
      <w:jc w:val="both"/>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7">
    <w:name w:val="toc 1"/>
    <w:basedOn w:val="1"/>
    <w:next w:val="1"/>
    <w:semiHidden/>
    <w:qFormat/>
    <w:uiPriority w:val="0"/>
    <w:pPr>
      <w:adjustRightInd/>
      <w:spacing w:before="120" w:after="120" w:line="240" w:lineRule="auto"/>
      <w:ind w:firstLine="0"/>
      <w:textAlignment w:val="auto"/>
    </w:pPr>
    <w:rPr>
      <w:rFonts w:ascii="Times New Roman"/>
      <w:b/>
      <w:bCs/>
      <w:caps/>
      <w:kern w:val="2"/>
      <w:sz w:val="21"/>
      <w:szCs w:val="24"/>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9">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paragraph" w:styleId="20">
    <w:name w:val="Body Text First Indent"/>
    <w:basedOn w:val="8"/>
    <w:next w:val="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21">
    <w:name w:val="Body Text First Indent 2"/>
    <w:basedOn w:val="10"/>
    <w:next w:val="12"/>
    <w:qFormat/>
    <w:uiPriority w:val="0"/>
    <w:pPr>
      <w:ind w:firstLine="420" w:firstLineChars="200"/>
    </w:p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nhideWhenUsed/>
    <w:qFormat/>
    <w:uiPriority w:val="99"/>
  </w:style>
  <w:style w:type="character" w:styleId="26">
    <w:name w:val="FollowedHyperlink"/>
    <w:basedOn w:val="24"/>
    <w:unhideWhenUsed/>
    <w:qFormat/>
    <w:uiPriority w:val="99"/>
    <w:rPr>
      <w:color w:val="800080"/>
      <w:u w:val="single"/>
    </w:rPr>
  </w:style>
  <w:style w:type="character" w:styleId="27">
    <w:name w:val="Hyperlink"/>
    <w:basedOn w:val="24"/>
    <w:unhideWhenUsed/>
    <w:qFormat/>
    <w:uiPriority w:val="99"/>
    <w:rPr>
      <w:color w:val="0000FF"/>
      <w:u w:val="single"/>
    </w:rPr>
  </w:style>
  <w:style w:type="paragraph" w:customStyle="1" w:styleId="28">
    <w:name w:val="标题 10"/>
    <w:basedOn w:val="3"/>
    <w:qFormat/>
    <w:uiPriority w:val="0"/>
    <w:pPr>
      <w:jc w:val="center"/>
    </w:pPr>
    <w:rPr>
      <w:kern w:val="0"/>
    </w:rPr>
  </w:style>
  <w:style w:type="paragraph" w:customStyle="1" w:styleId="29">
    <w:name w:val="标题 55"/>
    <w:basedOn w:val="5"/>
    <w:qFormat/>
    <w:uiPriority w:val="0"/>
    <w:rPr>
      <w:rFonts w:ascii="方正黑体简体" w:eastAsia="方正黑体简体"/>
      <w:b w:val="0"/>
      <w:bCs w:val="0"/>
    </w:rPr>
  </w:style>
  <w:style w:type="paragraph" w:customStyle="1" w:styleId="30">
    <w:name w:val="首行缩进"/>
    <w:basedOn w:val="1"/>
    <w:qFormat/>
    <w:uiPriority w:val="0"/>
    <w:pPr>
      <w:spacing w:line="360" w:lineRule="auto"/>
      <w:ind w:firstLine="420" w:firstLineChars="200"/>
    </w:pPr>
    <w:rPr>
      <w:rFonts w:ascii="宋体" w:hAnsi="宋体"/>
    </w:rPr>
  </w:style>
  <w:style w:type="paragraph" w:customStyle="1" w:styleId="31">
    <w:name w:val="Char Char Char1 Char Char Char Char"/>
    <w:basedOn w:val="1"/>
    <w:qFormat/>
    <w:uiPriority w:val="0"/>
    <w:pPr>
      <w:widowControl w:val="0"/>
      <w:jc w:val="both"/>
    </w:pPr>
    <w:rPr>
      <w:kern w:val="2"/>
      <w:sz w:val="21"/>
      <w:szCs w:val="21"/>
    </w:rPr>
  </w:style>
  <w:style w:type="character" w:customStyle="1" w:styleId="32">
    <w:name w:val="font81"/>
    <w:basedOn w:val="24"/>
    <w:qFormat/>
    <w:uiPriority w:val="0"/>
    <w:rPr>
      <w:rFonts w:hint="eastAsia" w:ascii="宋体" w:hAnsi="宋体" w:eastAsia="宋体" w:cs="宋体"/>
      <w:color w:val="000000"/>
      <w:sz w:val="22"/>
      <w:szCs w:val="22"/>
      <w:u w:val="none"/>
    </w:rPr>
  </w:style>
  <w:style w:type="character" w:customStyle="1" w:styleId="33">
    <w:name w:val="font61"/>
    <w:basedOn w:val="24"/>
    <w:qFormat/>
    <w:uiPriority w:val="0"/>
    <w:rPr>
      <w:rFonts w:hint="eastAsia" w:ascii="仿宋" w:hAnsi="仿宋" w:eastAsia="仿宋" w:cs="仿宋"/>
      <w:color w:val="000000"/>
      <w:sz w:val="22"/>
      <w:szCs w:val="22"/>
      <w:u w:val="none"/>
    </w:rPr>
  </w:style>
  <w:style w:type="character" w:customStyle="1" w:styleId="34">
    <w:name w:val="font91"/>
    <w:basedOn w:val="24"/>
    <w:qFormat/>
    <w:uiPriority w:val="0"/>
    <w:rPr>
      <w:rFonts w:hint="eastAsia" w:ascii="宋体" w:hAnsi="宋体" w:eastAsia="宋体" w:cs="宋体"/>
      <w:color w:val="000000"/>
      <w:sz w:val="22"/>
      <w:szCs w:val="22"/>
      <w:u w:val="none"/>
    </w:rPr>
  </w:style>
  <w:style w:type="character" w:customStyle="1" w:styleId="35">
    <w:name w:val="font51"/>
    <w:basedOn w:val="24"/>
    <w:qFormat/>
    <w:uiPriority w:val="0"/>
    <w:rPr>
      <w:rFonts w:hint="eastAsia" w:ascii="宋体" w:hAnsi="宋体" w:eastAsia="宋体" w:cs="宋体"/>
      <w:color w:val="000000"/>
      <w:sz w:val="22"/>
      <w:szCs w:val="22"/>
      <w:u w:val="none"/>
    </w:rPr>
  </w:style>
  <w:style w:type="character" w:customStyle="1" w:styleId="36">
    <w:name w:val="font41"/>
    <w:basedOn w:val="24"/>
    <w:qFormat/>
    <w:uiPriority w:val="0"/>
    <w:rPr>
      <w:rFonts w:hint="eastAsia" w:ascii="仿宋" w:hAnsi="仿宋" w:eastAsia="仿宋" w:cs="仿宋"/>
      <w:color w:val="000000"/>
      <w:sz w:val="22"/>
      <w:szCs w:val="22"/>
      <w:u w:val="none"/>
    </w:rPr>
  </w:style>
  <w:style w:type="character" w:customStyle="1" w:styleId="37">
    <w:name w:val="font21"/>
    <w:basedOn w:val="24"/>
    <w:qFormat/>
    <w:uiPriority w:val="0"/>
    <w:rPr>
      <w:rFonts w:hint="eastAsia" w:ascii="仿宋" w:hAnsi="仿宋" w:eastAsia="仿宋" w:cs="仿宋"/>
      <w:color w:val="000000"/>
      <w:sz w:val="22"/>
      <w:szCs w:val="22"/>
      <w:u w:val="none"/>
    </w:rPr>
  </w:style>
  <w:style w:type="character" w:customStyle="1" w:styleId="38">
    <w:name w:val="font31"/>
    <w:basedOn w:val="24"/>
    <w:qFormat/>
    <w:uiPriority w:val="0"/>
    <w:rPr>
      <w:rFonts w:hint="eastAsia" w:ascii="仿宋" w:hAnsi="仿宋" w:eastAsia="仿宋" w:cs="仿宋"/>
      <w:color w:val="000000"/>
      <w:sz w:val="22"/>
      <w:szCs w:val="22"/>
      <w:u w:val="none"/>
    </w:rPr>
  </w:style>
  <w:style w:type="paragraph" w:customStyle="1" w:styleId="39">
    <w:name w:val="正文1"/>
    <w:basedOn w:val="1"/>
    <w:qFormat/>
    <w:uiPriority w:val="0"/>
    <w:pPr>
      <w:ind w:firstLine="0"/>
    </w:pPr>
  </w:style>
  <w:style w:type="table" w:customStyle="1" w:styleId="4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41">
    <w:name w:val="样式 填表字 + 无下划线 Char"/>
    <w:qFormat/>
    <w:uiPriority w:val="0"/>
    <w:rPr>
      <w:rFonts w:ascii="PMingLiU" w:hAnsi="PMingLiU" w:eastAsia="华文行楷" w:cs="Times New Roman"/>
      <w:sz w:val="28"/>
      <w:szCs w:val="28"/>
      <w:u w:val="single"/>
    </w:rPr>
  </w:style>
  <w:style w:type="paragraph" w:customStyle="1" w:styleId="42">
    <w:name w:val="正文文本缩进 21"/>
    <w:basedOn w:val="1"/>
    <w:qFormat/>
    <w:uiPriority w:val="0"/>
    <w:pPr>
      <w:ind w:firstLine="570"/>
    </w:pPr>
    <w:rPr>
      <w:rFonts w:ascii="Times New Roman" w:hAnsi="Times New Roman" w:cs="Times New Roman"/>
      <w:sz w:val="32"/>
    </w:rPr>
  </w:style>
  <w:style w:type="paragraph" w:customStyle="1" w:styleId="43">
    <w:name w:val="常规"/>
    <w:basedOn w:val="1"/>
    <w:qFormat/>
    <w:uiPriority w:val="0"/>
    <w:pPr>
      <w:widowControl/>
      <w:jc w:val="left"/>
    </w:pPr>
    <w:rPr>
      <w:rFonts w:ascii="Arial" w:hAnsi="Arial" w:cs="Arial"/>
      <w:color w:val="000000"/>
      <w:kern w:val="0"/>
      <w:sz w:val="20"/>
      <w:szCs w:val="20"/>
    </w:rPr>
  </w:style>
  <w:style w:type="paragraph" w:customStyle="1" w:styleId="44">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45">
    <w:name w:val="表格"/>
    <w:basedOn w:val="1"/>
    <w:qFormat/>
    <w:uiPriority w:val="0"/>
    <w:pPr>
      <w:adjustRightInd w:val="0"/>
      <w:snapToGrid w:val="0"/>
      <w:spacing w:line="240" w:lineRule="atLeast"/>
    </w:pPr>
    <w:rPr>
      <w:rFonts w:ascii="宋体"/>
      <w:snapToGrid w:val="0"/>
      <w:kern w:val="0"/>
      <w:sz w:val="24"/>
    </w:rPr>
  </w:style>
  <w:style w:type="paragraph" w:customStyle="1" w:styleId="46">
    <w:name w:val="BlockQuote"/>
    <w:qFormat/>
    <w:uiPriority w:val="0"/>
    <w:pPr>
      <w:snapToGrid w:val="0"/>
      <w:spacing w:line="408" w:lineRule="auto"/>
      <w:ind w:left="-113" w:right="-510" w:firstLine="510"/>
      <w:jc w:val="both"/>
      <w:textAlignment w:val="baseline"/>
    </w:pPr>
    <w:rPr>
      <w:rFonts w:ascii="Calibri" w:hAnsi="Calibri" w:eastAsia="宋体" w:cs="Times New Roman"/>
      <w:kern w:val="2"/>
      <w:sz w:val="24"/>
      <w:lang w:val="en-US" w:eastAsia="zh-CN" w:bidi="ar-SA"/>
    </w:rPr>
  </w:style>
  <w:style w:type="paragraph" w:customStyle="1" w:styleId="47">
    <w:name w:val="Body Text 3"/>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48">
    <w:name w:val="WPSOffice手动目录 1"/>
    <w:qFormat/>
    <w:uiPriority w:val="0"/>
    <w:pPr>
      <w:ind w:leftChars="0"/>
    </w:pPr>
    <w:rPr>
      <w:rFonts w:ascii="Calibri" w:hAnsi="Calibri" w:eastAsia="宋体" w:cs="Times New Roman"/>
      <w:sz w:val="20"/>
      <w:szCs w:val="20"/>
    </w:rPr>
  </w:style>
  <w:style w:type="paragraph" w:customStyle="1" w:styleId="49">
    <w:name w:val="TOC 标题1"/>
    <w:basedOn w:val="2"/>
    <w:next w:val="1"/>
    <w:unhideWhenUsed/>
    <w:qFormat/>
    <w:uiPriority w:val="39"/>
    <w:pPr>
      <w:widowControl/>
      <w:tabs>
        <w:tab w:val="left" w:pos="1080"/>
      </w:tabs>
      <w:autoSpaceDE/>
      <w:autoSpaceDN/>
      <w:adjustRightInd/>
      <w:spacing w:before="480" w:after="0" w:line="276" w:lineRule="auto"/>
      <w:textAlignment w:val="auto"/>
      <w:outlineLvl w:val="9"/>
    </w:pPr>
    <w:rPr>
      <w:rFonts w:ascii="Cambria" w:hAnsi="Cambria"/>
      <w:color w:val="365F91"/>
      <w:kern w:val="0"/>
      <w:szCs w:val="28"/>
    </w:rPr>
  </w:style>
  <w:style w:type="paragraph" w:customStyle="1" w:styleId="50">
    <w:name w:val="ÕýÎÄ"/>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kern w:val="0"/>
      <w:sz w:val="22"/>
      <w:szCs w:val="20"/>
      <w:lang w:val="en-US" w:eastAsia="zh-CN" w:bidi="ar-SA"/>
    </w:rPr>
  </w:style>
  <w:style w:type="paragraph" w:styleId="5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6404</Words>
  <Characters>6870</Characters>
  <Lines>94</Lines>
  <Paragraphs>26</Paragraphs>
  <TotalTime>18</TotalTime>
  <ScaleCrop>false</ScaleCrop>
  <LinksUpToDate>false</LinksUpToDate>
  <CharactersWithSpaces>7546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2014-11-06T03:07:00Z</dcterms:created>
  <dc:creator>Administrator</dc:creator>
  <cp:lastModifiedBy>WPS_1766716566</cp:lastModifiedBy>
  <cp:lastPrinted>2025-05-30T09:11:00Z</cp:lastPrinted>
  <dcterms:modified xsi:type="dcterms:W3CDTF">2026-06-09T08:30:16Z</dcterms:modified>
  <dc:title>一、标书制作要求：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EE3F61082ABE445EAE25D77DB467F263_13</vt:lpwstr>
  </property>
  <property fmtid="{D5CDD505-2E9C-101B-9397-08002B2CF9AE}" pid="4" name="KSOTemplateDocerSaveRecord">
    <vt:lpwstr>eyJoZGlkIjoiYWJlMjBjNTlkYTQxZmJmMTIzMThlNjAxNjRlZjRjNWIiLCJ1c2VySWQiOiIxNzg2MzU0OTg0In0=</vt:lpwstr>
  </property>
</Properties>
</file>