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B6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5D6BEF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rPr>
        <w:t>万基</w:t>
      </w:r>
      <w:r>
        <w:rPr>
          <w:rFonts w:hint="eastAsia" w:ascii="黑体" w:hAnsi="黑体" w:eastAsia="黑体" w:cs="黑体"/>
          <w:b w:val="0"/>
          <w:bCs w:val="0"/>
          <w:sz w:val="43"/>
          <w:szCs w:val="43"/>
          <w:lang w:val="en-US" w:eastAsia="zh-CN"/>
        </w:rPr>
        <w:t>铝业</w:t>
      </w:r>
      <w:r>
        <w:rPr>
          <w:rFonts w:hint="eastAsia" w:ascii="黑体" w:hAnsi="黑体" w:eastAsia="黑体" w:cs="黑体"/>
          <w:b w:val="0"/>
          <w:bCs w:val="0"/>
          <w:sz w:val="43"/>
          <w:szCs w:val="43"/>
        </w:rPr>
        <w:t>（新疆）有限公司</w:t>
      </w:r>
    </w:p>
    <w:p w14:paraId="0A6706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val="en-US" w:eastAsia="zh-CN"/>
        </w:rPr>
      </w:pPr>
      <w:r>
        <w:rPr>
          <w:rFonts w:hint="eastAsia" w:ascii="黑体" w:hAnsi="黑体" w:eastAsia="黑体" w:cs="黑体"/>
          <w:b w:val="0"/>
          <w:bCs w:val="0"/>
          <w:sz w:val="43"/>
          <w:szCs w:val="43"/>
          <w:lang w:val="en-US" w:eastAsia="zh-CN"/>
        </w:rPr>
        <w:t>选聘58万吨电解铝建设项目EPC总承包合同</w:t>
      </w:r>
    </w:p>
    <w:p w14:paraId="798CE9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val="en-US" w:eastAsia="zh-CN"/>
        </w:rPr>
      </w:pPr>
      <w:r>
        <w:rPr>
          <w:rFonts w:hint="eastAsia" w:ascii="黑体" w:hAnsi="黑体" w:eastAsia="黑体" w:cs="黑体"/>
          <w:b w:val="0"/>
          <w:bCs w:val="0"/>
          <w:sz w:val="43"/>
          <w:szCs w:val="43"/>
          <w:lang w:val="en-US" w:eastAsia="zh-CN"/>
        </w:rPr>
        <w:t>履约</w:t>
      </w:r>
      <w:r>
        <w:rPr>
          <w:rFonts w:hint="eastAsia" w:ascii="黑体" w:hAnsi="黑体" w:eastAsia="黑体" w:cs="黑体"/>
          <w:b w:val="0"/>
          <w:bCs w:val="0"/>
          <w:sz w:val="43"/>
          <w:szCs w:val="43"/>
          <w:lang w:eastAsia="zh-CN"/>
        </w:rPr>
        <w:t>全过程</w:t>
      </w:r>
      <w:r>
        <w:rPr>
          <w:rFonts w:hint="eastAsia" w:ascii="黑体" w:hAnsi="黑体" w:eastAsia="黑体" w:cs="黑体"/>
          <w:b w:val="0"/>
          <w:bCs w:val="0"/>
          <w:sz w:val="43"/>
          <w:szCs w:val="43"/>
          <w:lang w:val="en-US" w:eastAsia="zh-CN"/>
        </w:rPr>
        <w:t>法律风控及专项</w:t>
      </w:r>
      <w:r>
        <w:rPr>
          <w:rFonts w:hint="eastAsia" w:ascii="黑体" w:hAnsi="黑体" w:eastAsia="黑体" w:cs="黑体"/>
          <w:b w:val="0"/>
          <w:bCs w:val="0"/>
          <w:sz w:val="43"/>
          <w:szCs w:val="43"/>
          <w:lang w:eastAsia="zh-CN"/>
        </w:rPr>
        <w:t>法律服务</w:t>
      </w:r>
      <w:r>
        <w:rPr>
          <w:rFonts w:hint="eastAsia" w:ascii="黑体" w:hAnsi="黑体" w:eastAsia="黑体" w:cs="黑体"/>
          <w:b w:val="0"/>
          <w:bCs w:val="0"/>
          <w:sz w:val="43"/>
          <w:szCs w:val="43"/>
          <w:lang w:val="en-US" w:eastAsia="zh-CN"/>
        </w:rPr>
        <w:t>律师事务所</w:t>
      </w:r>
    </w:p>
    <w:p w14:paraId="4DEB415B">
      <w:pPr>
        <w:pStyle w:val="5"/>
        <w:spacing w:line="1000" w:lineRule="exact"/>
        <w:ind w:left="0" w:leftChars="0" w:firstLine="0" w:firstLineChars="0"/>
        <w:rPr>
          <w:rFonts w:hint="eastAsia" w:ascii="黑体" w:eastAsia="黑体"/>
          <w:sz w:val="72"/>
          <w:szCs w:val="72"/>
          <w:highlight w:val="none"/>
        </w:rPr>
      </w:pPr>
    </w:p>
    <w:p w14:paraId="189B5352">
      <w:pPr>
        <w:pStyle w:val="5"/>
        <w:spacing w:line="1000" w:lineRule="exact"/>
        <w:jc w:val="center"/>
        <w:rPr>
          <w:rFonts w:hint="eastAsia" w:ascii="黑体" w:eastAsia="黑体"/>
          <w:sz w:val="72"/>
          <w:szCs w:val="72"/>
          <w:highlight w:val="none"/>
        </w:rPr>
      </w:pPr>
      <w:r>
        <w:rPr>
          <w:rFonts w:hint="eastAsia" w:ascii="黑体" w:eastAsia="黑体"/>
          <w:sz w:val="72"/>
          <w:szCs w:val="72"/>
          <w:highlight w:val="none"/>
          <w:lang w:eastAsia="zh-CN"/>
        </w:rPr>
        <w:t>询比价文件</w:t>
      </w:r>
    </w:p>
    <w:p w14:paraId="2A1A06B6">
      <w:pPr>
        <w:pStyle w:val="5"/>
        <w:rPr>
          <w:rFonts w:hint="eastAsia" w:ascii="楷体_GB2312" w:eastAsia="楷体_GB2312"/>
          <w:b/>
          <w:sz w:val="32"/>
          <w:highlight w:val="none"/>
        </w:rPr>
      </w:pPr>
    </w:p>
    <w:p w14:paraId="7CCCDAF8">
      <w:pPr>
        <w:pStyle w:val="5"/>
        <w:jc w:val="center"/>
        <w:rPr>
          <w:rFonts w:hint="default" w:ascii="楷体_GB2312" w:eastAsia="楷体_GB2312"/>
          <w:b/>
          <w:sz w:val="32"/>
          <w:highlight w:val="none"/>
          <w:lang w:val="en-US" w:eastAsia="zh-CN"/>
        </w:rPr>
      </w:pPr>
      <w:r>
        <w:rPr>
          <w:highlight w:val="none"/>
        </w:rPr>
        <w:drawing>
          <wp:inline distT="0" distB="0" distL="114300" distR="114300">
            <wp:extent cx="1081405" cy="72263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81405" cy="722630"/>
                    </a:xfrm>
                    <a:prstGeom prst="rect">
                      <a:avLst/>
                    </a:prstGeom>
                    <a:noFill/>
                    <a:ln>
                      <a:noFill/>
                    </a:ln>
                  </pic:spPr>
                </pic:pic>
              </a:graphicData>
            </a:graphic>
          </wp:inline>
        </w:drawing>
      </w:r>
    </w:p>
    <w:p w14:paraId="2939A146">
      <w:pPr>
        <w:pStyle w:val="5"/>
        <w:ind w:firstLine="2249" w:firstLineChars="703"/>
        <w:rPr>
          <w:rFonts w:hint="eastAsia" w:ascii="仿宋_GB2312" w:eastAsia="仿宋_GB2312"/>
          <w:sz w:val="32"/>
          <w:highlight w:val="none"/>
        </w:rPr>
      </w:pPr>
    </w:p>
    <w:p w14:paraId="58C65CC5">
      <w:pPr>
        <w:pStyle w:val="5"/>
        <w:ind w:firstLine="2249" w:firstLineChars="703"/>
        <w:rPr>
          <w:rFonts w:hint="eastAsia" w:ascii="仿宋_GB2312" w:eastAsia="仿宋_GB2312"/>
          <w:sz w:val="32"/>
          <w:highlight w:val="none"/>
        </w:rPr>
      </w:pPr>
    </w:p>
    <w:p w14:paraId="5213EBD1">
      <w:pPr>
        <w:pStyle w:val="5"/>
        <w:ind w:firstLine="2249" w:firstLineChars="703"/>
        <w:rPr>
          <w:rFonts w:hint="eastAsia" w:ascii="仿宋_GB2312" w:eastAsia="仿宋_GB2312"/>
          <w:sz w:val="32"/>
          <w:highlight w:val="none"/>
        </w:rPr>
      </w:pPr>
    </w:p>
    <w:p w14:paraId="7FA81729">
      <w:pPr>
        <w:pStyle w:val="5"/>
        <w:ind w:firstLine="2249" w:firstLineChars="703"/>
        <w:rPr>
          <w:rFonts w:hint="eastAsia" w:ascii="仿宋_GB2312" w:eastAsia="仿宋_GB2312"/>
          <w:sz w:val="32"/>
          <w:highlight w:val="none"/>
        </w:rPr>
      </w:pPr>
    </w:p>
    <w:p w14:paraId="7EA8C16D">
      <w:pPr>
        <w:pStyle w:val="5"/>
        <w:ind w:firstLine="2249" w:firstLineChars="703"/>
        <w:rPr>
          <w:rFonts w:hint="eastAsia" w:ascii="仿宋_GB2312" w:eastAsia="仿宋_GB2312"/>
          <w:sz w:val="32"/>
          <w:highlight w:val="none"/>
        </w:rPr>
      </w:pPr>
    </w:p>
    <w:p w14:paraId="36443D3E">
      <w:pPr>
        <w:pStyle w:val="5"/>
        <w:ind w:firstLine="2249" w:firstLineChars="703"/>
        <w:rPr>
          <w:rFonts w:hint="eastAsia" w:ascii="仿宋_GB2312" w:eastAsia="仿宋_GB2312"/>
          <w:sz w:val="32"/>
          <w:highlight w:val="none"/>
        </w:rPr>
      </w:pPr>
    </w:p>
    <w:p w14:paraId="34036353">
      <w:pPr>
        <w:pStyle w:val="5"/>
        <w:ind w:firstLine="2249" w:firstLineChars="703"/>
        <w:rPr>
          <w:rFonts w:hint="eastAsia" w:ascii="仿宋_GB2312" w:eastAsia="仿宋_GB2312"/>
          <w:sz w:val="32"/>
          <w:highlight w:val="none"/>
        </w:rPr>
      </w:pPr>
    </w:p>
    <w:p w14:paraId="33FD54B1">
      <w:pPr>
        <w:pStyle w:val="5"/>
        <w:ind w:firstLine="2249" w:firstLineChars="703"/>
        <w:rPr>
          <w:rFonts w:hint="eastAsia" w:ascii="仿宋_GB2312" w:eastAsia="仿宋_GB2312"/>
          <w:sz w:val="32"/>
          <w:highlight w:val="none"/>
        </w:rPr>
      </w:pPr>
    </w:p>
    <w:p w14:paraId="301AA4DB">
      <w:pPr>
        <w:pStyle w:val="5"/>
        <w:ind w:firstLine="2249" w:firstLineChars="703"/>
        <w:rPr>
          <w:rFonts w:hint="eastAsia" w:ascii="仿宋_GB2312" w:eastAsia="仿宋_GB2312"/>
          <w:sz w:val="32"/>
          <w:highlight w:val="none"/>
        </w:rPr>
      </w:pPr>
    </w:p>
    <w:p w14:paraId="376FAA0B">
      <w:pPr>
        <w:pStyle w:val="5"/>
        <w:ind w:firstLine="2249" w:firstLineChars="703"/>
        <w:rPr>
          <w:rFonts w:hint="eastAsia" w:ascii="仿宋_GB2312" w:eastAsia="仿宋_GB2312"/>
          <w:sz w:val="32"/>
          <w:highlight w:val="none"/>
        </w:rPr>
      </w:pPr>
    </w:p>
    <w:p w14:paraId="417B28A9">
      <w:pPr>
        <w:pStyle w:val="5"/>
        <w:ind w:firstLine="2249" w:firstLineChars="703"/>
        <w:rPr>
          <w:rFonts w:hint="eastAsia" w:ascii="仿宋_GB2312" w:eastAsia="仿宋_GB2312"/>
          <w:sz w:val="32"/>
          <w:highlight w:val="none"/>
        </w:rPr>
      </w:pPr>
    </w:p>
    <w:p w14:paraId="0ADE974D">
      <w:pPr>
        <w:pStyle w:val="5"/>
        <w:ind w:firstLine="2249" w:firstLineChars="703"/>
        <w:rPr>
          <w:rFonts w:hint="eastAsia" w:ascii="仿宋_GB2312" w:eastAsia="仿宋_GB2312"/>
          <w:sz w:val="32"/>
          <w:highlight w:val="none"/>
        </w:rPr>
      </w:pPr>
    </w:p>
    <w:p w14:paraId="2CA4E448">
      <w:pPr>
        <w:pStyle w:val="5"/>
        <w:ind w:firstLine="2249" w:firstLineChars="703"/>
        <w:rPr>
          <w:rFonts w:hint="eastAsia" w:ascii="仿宋_GB2312" w:eastAsia="仿宋_GB2312"/>
          <w:sz w:val="32"/>
          <w:highlight w:val="none"/>
        </w:rPr>
      </w:pPr>
    </w:p>
    <w:p w14:paraId="679728F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w w:val="90"/>
          <w:sz w:val="32"/>
          <w:szCs w:val="32"/>
          <w:highlight w:val="none"/>
          <w:lang w:eastAsia="zh-CN"/>
        </w:rPr>
      </w:pPr>
    </w:p>
    <w:p w14:paraId="3054B1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1"/>
          <w:szCs w:val="31"/>
          <w:lang w:eastAsia="zh-CN"/>
        </w:rPr>
      </w:pPr>
      <w:r>
        <w:rPr>
          <w:rFonts w:hint="eastAsia" w:ascii="仿宋_GB2312" w:hAnsi="仿宋_GB2312" w:eastAsia="仿宋_GB2312" w:cs="仿宋_GB2312"/>
          <w:w w:val="90"/>
          <w:sz w:val="31"/>
          <w:szCs w:val="31"/>
          <w:highlight w:val="none"/>
          <w:lang w:eastAsia="zh-CN"/>
        </w:rPr>
        <w:t>采购</w:t>
      </w:r>
      <w:r>
        <w:rPr>
          <w:rFonts w:hint="eastAsia" w:ascii="仿宋_GB2312" w:hAnsi="仿宋_GB2312" w:eastAsia="仿宋_GB2312" w:cs="仿宋_GB2312"/>
          <w:w w:val="90"/>
          <w:sz w:val="31"/>
          <w:szCs w:val="31"/>
          <w:highlight w:val="none"/>
        </w:rPr>
        <w:t>人: 万基</w:t>
      </w:r>
      <w:r>
        <w:rPr>
          <w:rFonts w:hint="eastAsia" w:ascii="仿宋_GB2312" w:hAnsi="仿宋_GB2312" w:eastAsia="仿宋_GB2312" w:cs="仿宋_GB2312"/>
          <w:w w:val="90"/>
          <w:sz w:val="31"/>
          <w:szCs w:val="31"/>
          <w:highlight w:val="none"/>
          <w:lang w:val="en-US" w:eastAsia="zh-CN"/>
        </w:rPr>
        <w:t>铝业</w:t>
      </w:r>
      <w:r>
        <w:rPr>
          <w:rFonts w:hint="eastAsia" w:ascii="仿宋_GB2312" w:hAnsi="仿宋_GB2312" w:eastAsia="仿宋_GB2312" w:cs="仿宋_GB2312"/>
          <w:w w:val="90"/>
          <w:sz w:val="31"/>
          <w:szCs w:val="31"/>
          <w:highlight w:val="none"/>
        </w:rPr>
        <w:t>（新疆）有限公司</w:t>
      </w:r>
    </w:p>
    <w:p w14:paraId="54230B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b/>
          <w:bCs/>
          <w:sz w:val="31"/>
          <w:szCs w:val="31"/>
        </w:rPr>
      </w:pPr>
      <w:r>
        <w:rPr>
          <w:rFonts w:hint="eastAsia" w:ascii="仿宋_GB2312" w:hAnsi="仿宋_GB2312" w:eastAsia="仿宋_GB2312" w:cs="仿宋_GB2312"/>
          <w:w w:val="90"/>
          <w:sz w:val="31"/>
          <w:szCs w:val="31"/>
          <w:highlight w:val="none"/>
        </w:rPr>
        <w:t>二○二</w:t>
      </w:r>
      <w:r>
        <w:rPr>
          <w:rFonts w:hint="eastAsia" w:ascii="仿宋_GB2312" w:hAnsi="仿宋_GB2312" w:eastAsia="仿宋_GB2312" w:cs="仿宋_GB2312"/>
          <w:w w:val="90"/>
          <w:sz w:val="31"/>
          <w:szCs w:val="31"/>
          <w:highlight w:val="none"/>
          <w:lang w:val="en-US" w:eastAsia="zh-CN"/>
        </w:rPr>
        <w:t>六</w:t>
      </w:r>
      <w:r>
        <w:rPr>
          <w:rFonts w:hint="eastAsia" w:ascii="仿宋_GB2312" w:hAnsi="仿宋_GB2312" w:eastAsia="仿宋_GB2312" w:cs="仿宋_GB2312"/>
          <w:w w:val="90"/>
          <w:sz w:val="31"/>
          <w:szCs w:val="31"/>
          <w:highlight w:val="none"/>
        </w:rPr>
        <w:t>年</w:t>
      </w:r>
      <w:r>
        <w:rPr>
          <w:rFonts w:hint="eastAsia" w:ascii="仿宋_GB2312" w:hAnsi="仿宋_GB2312" w:eastAsia="仿宋_GB2312" w:cs="仿宋_GB2312"/>
          <w:w w:val="90"/>
          <w:sz w:val="31"/>
          <w:szCs w:val="31"/>
          <w:highlight w:val="none"/>
          <w:lang w:val="en-US" w:eastAsia="zh-CN"/>
        </w:rPr>
        <w:t>七</w:t>
      </w:r>
      <w:r>
        <w:rPr>
          <w:rFonts w:hint="eastAsia" w:ascii="仿宋_GB2312" w:hAnsi="仿宋_GB2312" w:eastAsia="仿宋_GB2312" w:cs="仿宋_GB2312"/>
          <w:w w:val="90"/>
          <w:sz w:val="31"/>
          <w:szCs w:val="31"/>
          <w:highlight w:val="none"/>
        </w:rPr>
        <w:t>月</w:t>
      </w:r>
    </w:p>
    <w:p w14:paraId="3084BD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w w:val="90"/>
          <w:kern w:val="2"/>
          <w:sz w:val="31"/>
          <w:szCs w:val="31"/>
          <w:highlight w:val="none"/>
          <w:lang w:val="en-US" w:eastAsia="zh-CN" w:bidi="ar-SA"/>
        </w:rPr>
        <w:sectPr>
          <w:headerReference r:id="rId3" w:type="default"/>
          <w:footerReference r:id="rId4" w:type="default"/>
          <w:pgSz w:w="11906" w:h="16838"/>
          <w:pgMar w:top="1701" w:right="1417" w:bottom="1587" w:left="1417" w:header="851" w:footer="992" w:gutter="0"/>
          <w:pgNumType w:fmt="decimal"/>
          <w:cols w:space="425" w:num="1"/>
          <w:docGrid w:linePitch="312" w:charSpace="0"/>
        </w:sectPr>
      </w:pPr>
    </w:p>
    <w:p w14:paraId="6EE91F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w w:val="90"/>
          <w:kern w:val="2"/>
          <w:sz w:val="30"/>
          <w:szCs w:val="30"/>
          <w:highlight w:val="none"/>
          <w:lang w:val="en-US" w:eastAsia="zh-CN" w:bidi="ar-SA"/>
        </w:rPr>
      </w:pPr>
      <w:r>
        <w:rPr>
          <w:rFonts w:hint="eastAsia" w:ascii="仿宋" w:hAnsi="仿宋" w:eastAsia="仿宋" w:cs="仿宋"/>
          <w:w w:val="90"/>
          <w:kern w:val="2"/>
          <w:sz w:val="30"/>
          <w:szCs w:val="30"/>
          <w:highlight w:val="none"/>
          <w:lang w:val="en-US" w:eastAsia="zh-CN" w:bidi="ar-SA"/>
        </w:rPr>
        <w:t>万基铝业（新疆）有限公司选聘58万吨电解铝建设项目EPC总承包合同</w:t>
      </w:r>
    </w:p>
    <w:p w14:paraId="1AFE13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w w:val="90"/>
          <w:kern w:val="2"/>
          <w:sz w:val="30"/>
          <w:szCs w:val="30"/>
          <w:highlight w:val="none"/>
          <w:lang w:val="en-US" w:eastAsia="zh-CN" w:bidi="ar-SA"/>
        </w:rPr>
      </w:pPr>
      <w:r>
        <w:rPr>
          <w:rFonts w:hint="eastAsia" w:ascii="仿宋" w:hAnsi="仿宋" w:eastAsia="仿宋" w:cs="仿宋"/>
          <w:w w:val="90"/>
          <w:kern w:val="2"/>
          <w:sz w:val="30"/>
          <w:szCs w:val="30"/>
          <w:highlight w:val="none"/>
          <w:lang w:val="en-US" w:eastAsia="zh-CN" w:bidi="ar-SA"/>
        </w:rPr>
        <w:t>履约全过程法律风控及法律服务律师事务所</w:t>
      </w:r>
    </w:p>
    <w:p w14:paraId="6B6BE9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lang w:eastAsia="zh-CN"/>
        </w:rPr>
      </w:pPr>
    </w:p>
    <w:p w14:paraId="125B81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lang w:eastAsia="zh-CN"/>
        </w:rPr>
      </w:pPr>
      <w:r>
        <w:rPr>
          <w:rFonts w:hint="eastAsia" w:ascii="黑体" w:hAnsi="黑体" w:eastAsia="黑体" w:cs="黑体"/>
          <w:sz w:val="43"/>
          <w:szCs w:val="43"/>
          <w:lang w:eastAsia="zh-CN"/>
        </w:rPr>
        <w:t>询比价文件</w:t>
      </w:r>
    </w:p>
    <w:p w14:paraId="16B05A54">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jc w:val="center"/>
        <w:textAlignment w:val="auto"/>
        <w:outlineLvl w:val="1"/>
        <w:rPr>
          <w:rFonts w:hint="default" w:ascii="Times New Roman" w:hAnsi="Times New Roman" w:eastAsia="黑体" w:cs="Times New Roman"/>
          <w:b w:val="0"/>
          <w:bCs/>
          <w:sz w:val="32"/>
          <w:szCs w:val="32"/>
        </w:rPr>
      </w:pPr>
      <w:bookmarkStart w:id="0" w:name="heading_1"/>
      <w:r>
        <w:rPr>
          <w:rFonts w:hint="default" w:ascii="Times New Roman" w:hAnsi="Times New Roman" w:eastAsia="黑体" w:cs="Times New Roman"/>
          <w:b w:val="0"/>
          <w:bCs/>
          <w:sz w:val="32"/>
          <w:szCs w:val="32"/>
        </w:rPr>
        <w:t>第一章 询比价公告</w:t>
      </w:r>
      <w:bookmarkEnd w:id="0"/>
    </w:p>
    <w:p w14:paraId="7219ED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一、项目概况</w:t>
      </w:r>
    </w:p>
    <w:p w14:paraId="3A378C01">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1"/>
          <w:szCs w:val="31"/>
          <w:lang w:val="en-US" w:eastAsia="zh-CN"/>
        </w:rPr>
        <w:t>万基铝业（新疆）有限公司58万吨电解铝建设项目EPC总承包主合同已签订、项目已正式进场施工。</w:t>
      </w:r>
      <w:r>
        <w:rPr>
          <w:rFonts w:hint="eastAsia" w:ascii="仿宋" w:hAnsi="仿宋" w:eastAsia="仿宋" w:cs="仿宋"/>
          <w:sz w:val="31"/>
          <w:szCs w:val="31"/>
          <w:highlight w:val="none"/>
          <w:lang w:val="en-US" w:eastAsia="zh-CN"/>
        </w:rPr>
        <w:t>为保障项目后续履约、合同补充协议、工程变更、签证、索赔、结算、质保及争议处置全流程合法合规运行，有效防控合同履约、工程工期、工程造价、质量、安全、环保及合规管理等各类风险，</w:t>
      </w:r>
      <w:r>
        <w:rPr>
          <w:rFonts w:hint="eastAsia" w:ascii="仿宋" w:hAnsi="仿宋" w:eastAsia="仿宋" w:cs="仿宋"/>
          <w:sz w:val="31"/>
          <w:szCs w:val="31"/>
          <w:lang w:val="en-US" w:eastAsia="zh-CN"/>
        </w:rPr>
        <w:t>现需选聘专业律师事务所为本EPC项目提供总承包合同履约全过程法律风控及专项法律服务。</w:t>
      </w:r>
    </w:p>
    <w:p w14:paraId="33BB68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二、项目基础信息</w:t>
      </w:r>
    </w:p>
    <w:p w14:paraId="58BF3161">
      <w:pPr>
        <w:keepNext w:val="0"/>
        <w:keepLines w:val="0"/>
        <w:pageBreakBefore w:val="0"/>
        <w:widowControl w:val="0"/>
        <w:kinsoku/>
        <w:wordWrap/>
        <w:overflowPunct/>
        <w:topLinePunct w:val="0"/>
        <w:autoSpaceDE/>
        <w:autoSpaceDN/>
        <w:bidi w:val="0"/>
        <w:adjustRightInd w:val="0"/>
        <w:snapToGrid w:val="0"/>
        <w:spacing w:line="560" w:lineRule="exact"/>
        <w:ind w:firstLine="644" w:firstLineChars="200"/>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napToGrid w:val="0"/>
          <w:color w:val="000000"/>
          <w:spacing w:val="11"/>
          <w:kern w:val="0"/>
          <w:sz w:val="30"/>
          <w:szCs w:val="30"/>
          <w:lang w:val="en-US" w:eastAsia="zh-CN"/>
        </w:rPr>
        <w:t>1</w:t>
      </w:r>
      <w:r>
        <w:rPr>
          <w:rFonts w:hint="eastAsia" w:ascii="楷体" w:hAnsi="楷体" w:eastAsia="楷体" w:cs="楷体"/>
          <w:snapToGrid w:val="0"/>
          <w:color w:val="000000"/>
          <w:spacing w:val="11"/>
          <w:kern w:val="0"/>
          <w:sz w:val="30"/>
          <w:szCs w:val="30"/>
          <w:lang w:val="en-US" w:eastAsia="zh-CN"/>
        </w:rPr>
        <w:t>、</w:t>
      </w:r>
      <w:r>
        <w:rPr>
          <w:rFonts w:hint="default" w:ascii="楷体" w:hAnsi="楷体" w:eastAsia="楷体" w:cs="楷体"/>
          <w:snapToGrid w:val="0"/>
          <w:color w:val="000000"/>
          <w:spacing w:val="11"/>
          <w:kern w:val="0"/>
          <w:sz w:val="30"/>
          <w:szCs w:val="30"/>
          <w:lang w:val="en-US" w:eastAsia="zh-CN"/>
        </w:rPr>
        <w:t>项目名称：</w:t>
      </w:r>
      <w:r>
        <w:rPr>
          <w:rFonts w:hint="default" w:ascii="Times New Roman" w:hAnsi="Times New Roman" w:eastAsia="仿宋_GB2312" w:cs="Times New Roman"/>
          <w:sz w:val="30"/>
          <w:szCs w:val="30"/>
          <w:lang w:val="en-US" w:eastAsia="zh-CN"/>
        </w:rPr>
        <w:t>万基铝业（新疆）有限公司</w:t>
      </w:r>
      <w:r>
        <w:rPr>
          <w:rFonts w:hint="eastAsia" w:ascii="Times New Roman" w:hAnsi="Times New Roman" w:eastAsia="仿宋_GB2312" w:cs="Times New Roman"/>
          <w:sz w:val="30"/>
          <w:szCs w:val="30"/>
          <w:lang w:val="en-US" w:eastAsia="zh-CN"/>
        </w:rPr>
        <w:t>选聘</w:t>
      </w:r>
      <w:r>
        <w:rPr>
          <w:rFonts w:hint="default" w:ascii="Times New Roman" w:hAnsi="Times New Roman" w:eastAsia="仿宋_GB2312" w:cs="Times New Roman"/>
          <w:sz w:val="30"/>
          <w:szCs w:val="30"/>
          <w:lang w:val="en-US" w:eastAsia="zh-CN"/>
        </w:rPr>
        <w:t>58万吨电解铝建设项目EPC总承包合同</w:t>
      </w:r>
      <w:r>
        <w:rPr>
          <w:rFonts w:hint="eastAsia" w:ascii="Times New Roman" w:hAnsi="Times New Roman" w:eastAsia="仿宋_GB2312" w:cs="Times New Roman"/>
          <w:sz w:val="30"/>
          <w:szCs w:val="30"/>
          <w:lang w:val="en-US" w:eastAsia="zh-CN"/>
        </w:rPr>
        <w:t>履约</w:t>
      </w:r>
      <w:r>
        <w:rPr>
          <w:rFonts w:hint="default" w:ascii="Times New Roman" w:hAnsi="Times New Roman" w:eastAsia="仿宋_GB2312" w:cs="Times New Roman"/>
          <w:sz w:val="30"/>
          <w:szCs w:val="30"/>
          <w:lang w:val="en-US" w:eastAsia="zh-CN"/>
        </w:rPr>
        <w:t>全过程</w:t>
      </w:r>
      <w:r>
        <w:rPr>
          <w:rFonts w:hint="eastAsia" w:ascii="Times New Roman" w:hAnsi="Times New Roman" w:eastAsia="仿宋_GB2312" w:cs="Times New Roman"/>
          <w:sz w:val="30"/>
          <w:szCs w:val="30"/>
          <w:lang w:val="en-US" w:eastAsia="zh-CN"/>
        </w:rPr>
        <w:t>法律</w:t>
      </w:r>
      <w:r>
        <w:rPr>
          <w:rFonts w:hint="default" w:ascii="Times New Roman" w:hAnsi="Times New Roman" w:eastAsia="仿宋_GB2312" w:cs="Times New Roman"/>
          <w:sz w:val="30"/>
          <w:szCs w:val="30"/>
          <w:lang w:val="en-US" w:eastAsia="zh-CN"/>
        </w:rPr>
        <w:t>风控及</w:t>
      </w:r>
      <w:r>
        <w:rPr>
          <w:rFonts w:hint="eastAsia" w:ascii="Times New Roman" w:hAnsi="Times New Roman" w:eastAsia="仿宋_GB2312" w:cs="Times New Roman"/>
          <w:sz w:val="30"/>
          <w:szCs w:val="30"/>
          <w:lang w:val="en-US" w:eastAsia="zh-CN"/>
        </w:rPr>
        <w:t>专项</w:t>
      </w:r>
      <w:r>
        <w:rPr>
          <w:rFonts w:hint="default" w:ascii="Times New Roman" w:hAnsi="Times New Roman" w:eastAsia="仿宋_GB2312" w:cs="Times New Roman"/>
          <w:sz w:val="30"/>
          <w:szCs w:val="30"/>
          <w:lang w:val="en-US" w:eastAsia="zh-CN"/>
        </w:rPr>
        <w:t>法律服务</w:t>
      </w:r>
      <w:r>
        <w:rPr>
          <w:rFonts w:hint="eastAsia" w:ascii="Times New Roman" w:hAnsi="Times New Roman" w:eastAsia="仿宋_GB2312" w:cs="Times New Roman"/>
          <w:sz w:val="30"/>
          <w:szCs w:val="30"/>
          <w:lang w:val="en-US" w:eastAsia="zh-CN"/>
        </w:rPr>
        <w:t>律师事务所</w:t>
      </w:r>
      <w:r>
        <w:rPr>
          <w:rFonts w:hint="eastAsia" w:ascii="Times New Roman" w:hAnsi="Times New Roman" w:eastAsia="仿宋_GB2312" w:cs="Times New Roman"/>
          <w:sz w:val="31"/>
          <w:szCs w:val="31"/>
          <w:lang w:val="en-US" w:eastAsia="zh-CN"/>
        </w:rPr>
        <w:t>；</w:t>
      </w:r>
    </w:p>
    <w:p w14:paraId="02A2B108">
      <w:pPr>
        <w:keepNext w:val="0"/>
        <w:keepLines w:val="0"/>
        <w:pageBreakBefore w:val="0"/>
        <w:widowControl w:val="0"/>
        <w:kinsoku/>
        <w:wordWrap/>
        <w:overflowPunct/>
        <w:topLinePunct w:val="0"/>
        <w:autoSpaceDE/>
        <w:autoSpaceDN/>
        <w:bidi w:val="0"/>
        <w:adjustRightInd w:val="0"/>
        <w:snapToGrid w:val="0"/>
        <w:spacing w:line="560" w:lineRule="exact"/>
        <w:ind w:firstLine="644" w:firstLineChars="200"/>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napToGrid w:val="0"/>
          <w:color w:val="000000"/>
          <w:spacing w:val="11"/>
          <w:kern w:val="0"/>
          <w:sz w:val="30"/>
          <w:szCs w:val="30"/>
          <w:lang w:val="en-US" w:eastAsia="zh-CN"/>
        </w:rPr>
        <w:t>2</w:t>
      </w:r>
      <w:r>
        <w:rPr>
          <w:rFonts w:hint="eastAsia" w:ascii="楷体" w:hAnsi="楷体" w:eastAsia="楷体" w:cs="楷体"/>
          <w:snapToGrid w:val="0"/>
          <w:color w:val="000000"/>
          <w:spacing w:val="11"/>
          <w:kern w:val="0"/>
          <w:sz w:val="30"/>
          <w:szCs w:val="30"/>
          <w:lang w:val="en-US" w:eastAsia="zh-CN"/>
        </w:rPr>
        <w:t>、</w:t>
      </w:r>
      <w:r>
        <w:rPr>
          <w:rFonts w:hint="default" w:ascii="楷体" w:hAnsi="楷体" w:eastAsia="楷体" w:cs="楷体"/>
          <w:snapToGrid w:val="0"/>
          <w:color w:val="000000"/>
          <w:spacing w:val="11"/>
          <w:kern w:val="0"/>
          <w:sz w:val="30"/>
          <w:szCs w:val="30"/>
          <w:lang w:val="en-US" w:eastAsia="zh-CN"/>
        </w:rPr>
        <w:t>项目性质：</w:t>
      </w:r>
      <w:r>
        <w:rPr>
          <w:rFonts w:hint="default" w:ascii="Times New Roman" w:hAnsi="Times New Roman" w:eastAsia="仿宋_GB2312" w:cs="Times New Roman"/>
          <w:sz w:val="30"/>
          <w:szCs w:val="30"/>
          <w:lang w:val="en-US" w:eastAsia="zh-CN"/>
        </w:rPr>
        <w:t>电解铝产能建设EPC总承包项目</w:t>
      </w:r>
      <w:r>
        <w:rPr>
          <w:rFonts w:hint="eastAsia" w:ascii="Times New Roman" w:hAnsi="Times New Roman" w:eastAsia="仿宋_GB2312" w:cs="Times New Roman"/>
          <w:sz w:val="30"/>
          <w:szCs w:val="30"/>
          <w:lang w:val="en-US" w:eastAsia="zh-CN"/>
        </w:rPr>
        <w:t>；</w:t>
      </w:r>
    </w:p>
    <w:p w14:paraId="05EDA78E">
      <w:pPr>
        <w:keepNext w:val="0"/>
        <w:keepLines w:val="0"/>
        <w:pageBreakBefore w:val="0"/>
        <w:widowControl w:val="0"/>
        <w:kinsoku/>
        <w:wordWrap/>
        <w:overflowPunct/>
        <w:topLinePunct w:val="0"/>
        <w:autoSpaceDE/>
        <w:autoSpaceDN/>
        <w:bidi w:val="0"/>
        <w:adjustRightInd w:val="0"/>
        <w:snapToGrid w:val="0"/>
        <w:spacing w:line="560" w:lineRule="exact"/>
        <w:ind w:firstLine="644" w:firstLineChars="200"/>
        <w:jc w:val="left"/>
        <w:textAlignment w:val="auto"/>
        <w:rPr>
          <w:rFonts w:hint="eastAsia" w:ascii="Times New Roman" w:hAnsi="Times New Roman" w:eastAsia="仿宋_GB2312" w:cs="Times New Roman"/>
          <w:sz w:val="30"/>
          <w:szCs w:val="30"/>
          <w:lang w:val="en-US" w:eastAsia="zh-CN"/>
        </w:rPr>
      </w:pPr>
      <w:r>
        <w:rPr>
          <w:rFonts w:hint="default" w:ascii="楷体" w:hAnsi="楷体" w:eastAsia="楷体" w:cs="楷体"/>
          <w:snapToGrid w:val="0"/>
          <w:color w:val="000000"/>
          <w:spacing w:val="11"/>
          <w:kern w:val="0"/>
          <w:sz w:val="30"/>
          <w:szCs w:val="30"/>
          <w:lang w:val="en-US" w:eastAsia="zh-CN"/>
        </w:rPr>
        <w:t>3</w:t>
      </w:r>
      <w:r>
        <w:rPr>
          <w:rFonts w:hint="eastAsia" w:ascii="楷体" w:hAnsi="楷体" w:eastAsia="楷体" w:cs="楷体"/>
          <w:snapToGrid w:val="0"/>
          <w:color w:val="000000"/>
          <w:spacing w:val="11"/>
          <w:kern w:val="0"/>
          <w:sz w:val="30"/>
          <w:szCs w:val="30"/>
          <w:lang w:val="en-US" w:eastAsia="zh-CN"/>
        </w:rPr>
        <w:t>、建设</w:t>
      </w:r>
      <w:r>
        <w:rPr>
          <w:rFonts w:hint="default" w:ascii="楷体" w:hAnsi="楷体" w:eastAsia="楷体" w:cs="楷体"/>
          <w:snapToGrid w:val="0"/>
          <w:color w:val="000000"/>
          <w:spacing w:val="11"/>
          <w:kern w:val="0"/>
          <w:sz w:val="30"/>
          <w:szCs w:val="30"/>
          <w:lang w:val="en-US" w:eastAsia="zh-CN"/>
        </w:rPr>
        <w:t>规模：</w:t>
      </w:r>
      <w:r>
        <w:rPr>
          <w:rFonts w:hint="default" w:ascii="Times New Roman" w:hAnsi="Times New Roman" w:eastAsia="仿宋_GB2312" w:cs="Times New Roman"/>
          <w:sz w:val="30"/>
          <w:szCs w:val="30"/>
          <w:lang w:val="en-US" w:eastAsia="zh-CN"/>
        </w:rPr>
        <w:t>58万吨/年电解铝</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楷体" w:hAnsi="楷体" w:eastAsia="楷体" w:cs="楷体"/>
          <w:snapToGrid w:val="0"/>
          <w:color w:val="000000"/>
          <w:spacing w:val="11"/>
          <w:kern w:val="0"/>
          <w:sz w:val="30"/>
          <w:szCs w:val="30"/>
          <w:lang w:val="en-US" w:eastAsia="zh-CN"/>
        </w:rPr>
        <w:t>4</w:t>
      </w:r>
      <w:r>
        <w:rPr>
          <w:rFonts w:hint="eastAsia" w:ascii="楷体" w:hAnsi="楷体" w:eastAsia="楷体" w:cs="楷体"/>
          <w:snapToGrid w:val="0"/>
          <w:color w:val="000000"/>
          <w:spacing w:val="11"/>
          <w:kern w:val="0"/>
          <w:sz w:val="30"/>
          <w:szCs w:val="30"/>
          <w:lang w:val="en-US" w:eastAsia="zh-CN"/>
        </w:rPr>
        <w:t>、</w:t>
      </w:r>
      <w:r>
        <w:rPr>
          <w:rFonts w:hint="default" w:ascii="楷体" w:hAnsi="楷体" w:eastAsia="楷体" w:cs="楷体"/>
          <w:snapToGrid w:val="0"/>
          <w:color w:val="000000"/>
          <w:spacing w:val="11"/>
          <w:kern w:val="0"/>
          <w:sz w:val="30"/>
          <w:szCs w:val="30"/>
          <w:lang w:val="en-US" w:eastAsia="zh-CN"/>
        </w:rPr>
        <w:t>项目地点：</w:t>
      </w:r>
      <w:r>
        <w:rPr>
          <w:rFonts w:hint="default" w:ascii="Times New Roman" w:hAnsi="Times New Roman" w:eastAsia="仿宋_GB2312" w:cs="Times New Roman"/>
          <w:sz w:val="30"/>
          <w:szCs w:val="30"/>
          <w:lang w:val="en-US" w:eastAsia="zh-CN"/>
        </w:rPr>
        <w:t>新疆</w:t>
      </w:r>
      <w:r>
        <w:rPr>
          <w:rFonts w:hint="eastAsia" w:ascii="Times New Roman" w:hAnsi="Times New Roman" w:eastAsia="仿宋_GB2312" w:cs="Times New Roman"/>
          <w:sz w:val="30"/>
          <w:szCs w:val="30"/>
          <w:lang w:val="en-US" w:eastAsia="zh-CN"/>
        </w:rPr>
        <w:t>第十三师</w:t>
      </w:r>
      <w:r>
        <w:rPr>
          <w:rFonts w:hint="default" w:ascii="Times New Roman" w:hAnsi="Times New Roman" w:eastAsia="仿宋_GB2312" w:cs="Times New Roman"/>
          <w:sz w:val="30"/>
          <w:szCs w:val="30"/>
          <w:lang w:val="en-US" w:eastAsia="zh-CN"/>
        </w:rPr>
        <w:t>新星市</w:t>
      </w:r>
      <w:r>
        <w:rPr>
          <w:rFonts w:hint="eastAsia" w:ascii="Times New Roman" w:hAnsi="Times New Roman" w:eastAsia="仿宋_GB2312" w:cs="Times New Roman"/>
          <w:sz w:val="30"/>
          <w:szCs w:val="30"/>
          <w:lang w:val="en-US" w:eastAsia="zh-CN"/>
        </w:rPr>
        <w:t>新星经济技术开发区</w:t>
      </w:r>
    </w:p>
    <w:p w14:paraId="160B036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0"/>
          <w:szCs w:val="30"/>
          <w:lang w:val="en-US" w:eastAsia="zh-CN"/>
        </w:rPr>
        <w:t>骆驼圈子产业园兴盛路1号；</w:t>
      </w:r>
    </w:p>
    <w:p w14:paraId="5B79802D">
      <w:pPr>
        <w:keepNext w:val="0"/>
        <w:keepLines w:val="0"/>
        <w:pageBreakBefore w:val="0"/>
        <w:widowControl w:val="0"/>
        <w:kinsoku/>
        <w:wordWrap/>
        <w:overflowPunct/>
        <w:topLinePunct w:val="0"/>
        <w:autoSpaceDE/>
        <w:autoSpaceDN/>
        <w:bidi w:val="0"/>
        <w:adjustRightInd w:val="0"/>
        <w:snapToGrid w:val="0"/>
        <w:spacing w:line="560" w:lineRule="exact"/>
        <w:ind w:firstLine="644" w:firstLineChars="200"/>
        <w:textAlignment w:val="auto"/>
        <w:rPr>
          <w:rFonts w:hint="default" w:ascii="Times New Roman" w:hAnsi="Times New Roman" w:eastAsia="仿宋_GB2312" w:cs="Times New Roman"/>
          <w:sz w:val="30"/>
          <w:szCs w:val="30"/>
          <w:lang w:val="en-US" w:eastAsia="zh-CN"/>
        </w:rPr>
      </w:pPr>
      <w:r>
        <w:rPr>
          <w:rFonts w:hint="default" w:ascii="楷体" w:hAnsi="楷体" w:eastAsia="楷体" w:cs="楷体"/>
          <w:snapToGrid w:val="0"/>
          <w:color w:val="000000"/>
          <w:spacing w:val="11"/>
          <w:kern w:val="0"/>
          <w:sz w:val="30"/>
          <w:szCs w:val="30"/>
          <w:lang w:val="en-US" w:eastAsia="zh-CN"/>
        </w:rPr>
        <w:t>5</w:t>
      </w:r>
      <w:r>
        <w:rPr>
          <w:rFonts w:hint="eastAsia" w:ascii="楷体" w:hAnsi="楷体" w:eastAsia="楷体" w:cs="楷体"/>
          <w:snapToGrid w:val="0"/>
          <w:color w:val="000000"/>
          <w:spacing w:val="11"/>
          <w:kern w:val="0"/>
          <w:sz w:val="30"/>
          <w:szCs w:val="30"/>
          <w:lang w:val="en-US" w:eastAsia="zh-CN"/>
        </w:rPr>
        <w:t>、</w:t>
      </w:r>
      <w:r>
        <w:rPr>
          <w:rFonts w:hint="default" w:ascii="楷体" w:hAnsi="楷体" w:eastAsia="楷体" w:cs="楷体"/>
          <w:snapToGrid w:val="0"/>
          <w:color w:val="000000"/>
          <w:spacing w:val="11"/>
          <w:kern w:val="0"/>
          <w:sz w:val="30"/>
          <w:szCs w:val="30"/>
          <w:lang w:val="en-US" w:eastAsia="zh-CN"/>
        </w:rPr>
        <w:t>服务模式：</w:t>
      </w:r>
      <w:r>
        <w:rPr>
          <w:rFonts w:hint="default" w:ascii="Times New Roman" w:hAnsi="Times New Roman" w:eastAsia="仿宋_GB2312" w:cs="Times New Roman"/>
          <w:sz w:val="30"/>
          <w:szCs w:val="30"/>
          <w:lang w:val="en-US" w:eastAsia="zh-CN"/>
        </w:rPr>
        <w:t>EPC总承包合同</w:t>
      </w:r>
      <w:r>
        <w:rPr>
          <w:rFonts w:hint="eastAsia" w:ascii="Times New Roman" w:hAnsi="Times New Roman" w:eastAsia="仿宋_GB2312" w:cs="Times New Roman"/>
          <w:sz w:val="30"/>
          <w:szCs w:val="30"/>
          <w:lang w:val="en-US" w:eastAsia="zh-CN"/>
        </w:rPr>
        <w:t>履约</w:t>
      </w:r>
      <w:r>
        <w:rPr>
          <w:rFonts w:hint="default" w:ascii="Times New Roman" w:hAnsi="Times New Roman" w:eastAsia="仿宋_GB2312" w:cs="Times New Roman"/>
          <w:sz w:val="30"/>
          <w:szCs w:val="30"/>
          <w:lang w:val="en-US" w:eastAsia="zh-CN"/>
        </w:rPr>
        <w:t>全过程法律风控</w:t>
      </w:r>
      <w:r>
        <w:rPr>
          <w:rFonts w:hint="eastAsia" w:ascii="Times New Roman" w:hAnsi="Times New Roman" w:eastAsia="仿宋_GB2312" w:cs="Times New Roman"/>
          <w:sz w:val="30"/>
          <w:szCs w:val="30"/>
          <w:lang w:val="en-US" w:eastAsia="zh-CN"/>
        </w:rPr>
        <w:t>及</w:t>
      </w:r>
      <w:r>
        <w:rPr>
          <w:rFonts w:hint="default" w:ascii="Times New Roman" w:hAnsi="Times New Roman" w:eastAsia="仿宋_GB2312" w:cs="Times New Roman"/>
          <w:sz w:val="30"/>
          <w:szCs w:val="30"/>
          <w:lang w:val="en-US" w:eastAsia="zh-CN"/>
        </w:rPr>
        <w:t>专项法律服务</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楷体" w:hAnsi="楷体" w:eastAsia="楷体" w:cs="楷体"/>
          <w:snapToGrid w:val="0"/>
          <w:color w:val="000000"/>
          <w:spacing w:val="11"/>
          <w:kern w:val="0"/>
          <w:sz w:val="30"/>
          <w:szCs w:val="30"/>
          <w:lang w:val="en-US" w:eastAsia="zh-CN"/>
        </w:rPr>
        <w:t>6</w:t>
      </w:r>
      <w:r>
        <w:rPr>
          <w:rFonts w:hint="eastAsia" w:ascii="楷体" w:hAnsi="楷体" w:eastAsia="楷体" w:cs="楷体"/>
          <w:snapToGrid w:val="0"/>
          <w:color w:val="000000"/>
          <w:spacing w:val="11"/>
          <w:kern w:val="0"/>
          <w:sz w:val="30"/>
          <w:szCs w:val="30"/>
          <w:lang w:val="en-US" w:eastAsia="zh-CN"/>
        </w:rPr>
        <w:t>、</w:t>
      </w:r>
      <w:r>
        <w:rPr>
          <w:rFonts w:hint="default" w:ascii="楷体" w:hAnsi="楷体" w:eastAsia="楷体" w:cs="楷体"/>
          <w:snapToGrid w:val="0"/>
          <w:color w:val="000000"/>
          <w:spacing w:val="11"/>
          <w:kern w:val="0"/>
          <w:sz w:val="30"/>
          <w:szCs w:val="30"/>
          <w:lang w:val="en-US" w:eastAsia="zh-CN"/>
        </w:rPr>
        <w:t>服务周期：</w:t>
      </w:r>
      <w:r>
        <w:rPr>
          <w:rFonts w:hint="default" w:ascii="Times New Roman" w:hAnsi="Times New Roman" w:eastAsia="仿宋_GB2312" w:cs="Times New Roman"/>
          <w:sz w:val="30"/>
          <w:szCs w:val="30"/>
          <w:lang w:val="en-US" w:eastAsia="zh-CN"/>
        </w:rPr>
        <w:t>自</w:t>
      </w:r>
      <w:r>
        <w:rPr>
          <w:rFonts w:hint="eastAsia" w:ascii="Times New Roman" w:hAnsi="Times New Roman" w:eastAsia="仿宋_GB2312" w:cs="Times New Roman"/>
          <w:sz w:val="30"/>
          <w:szCs w:val="30"/>
          <w:lang w:val="en-US" w:eastAsia="zh-CN"/>
        </w:rPr>
        <w:t>服务</w:t>
      </w:r>
      <w:r>
        <w:rPr>
          <w:rFonts w:hint="default" w:ascii="Times New Roman" w:hAnsi="Times New Roman" w:eastAsia="仿宋_GB2312" w:cs="Times New Roman"/>
          <w:sz w:val="30"/>
          <w:szCs w:val="30"/>
          <w:lang w:val="en-US" w:eastAsia="zh-CN"/>
        </w:rPr>
        <w:t>合同</w:t>
      </w:r>
      <w:r>
        <w:rPr>
          <w:rFonts w:hint="eastAsia" w:ascii="Times New Roman" w:hAnsi="Times New Roman" w:eastAsia="仿宋_GB2312" w:cs="Times New Roman"/>
          <w:sz w:val="30"/>
          <w:szCs w:val="30"/>
          <w:lang w:val="en-US" w:eastAsia="zh-CN"/>
        </w:rPr>
        <w:t>签订之日起</w:t>
      </w:r>
      <w:r>
        <w:rPr>
          <w:rFonts w:hint="default" w:ascii="Times New Roman" w:hAnsi="Times New Roman" w:eastAsia="仿宋_GB2312" w:cs="Times New Roman"/>
          <w:sz w:val="30"/>
          <w:szCs w:val="30"/>
          <w:lang w:val="en-US" w:eastAsia="zh-CN"/>
        </w:rPr>
        <w:t>，至</w:t>
      </w:r>
      <w:r>
        <w:rPr>
          <w:rFonts w:hint="eastAsia" w:ascii="Times New Roman" w:hAnsi="Times New Roman" w:eastAsia="仿宋_GB2312" w:cs="Times New Roman"/>
          <w:sz w:val="30"/>
          <w:szCs w:val="30"/>
          <w:lang w:val="en-US" w:eastAsia="zh-CN"/>
        </w:rPr>
        <w:t>本</w:t>
      </w:r>
      <w:r>
        <w:rPr>
          <w:rFonts w:hint="default" w:ascii="Times New Roman" w:hAnsi="Times New Roman" w:eastAsia="仿宋_GB2312" w:cs="Times New Roman"/>
          <w:sz w:val="30"/>
          <w:szCs w:val="30"/>
          <w:lang w:val="en-US" w:eastAsia="zh-CN"/>
        </w:rPr>
        <w:t>EPC工程竣工验收</w:t>
      </w:r>
      <w:r>
        <w:rPr>
          <w:rFonts w:hint="eastAsia" w:ascii="Times New Roman" w:hAnsi="Times New Roman" w:eastAsia="仿宋_GB2312" w:cs="Times New Roman"/>
          <w:sz w:val="30"/>
          <w:szCs w:val="30"/>
          <w:lang w:val="en-US" w:eastAsia="zh-CN"/>
        </w:rPr>
        <w:t>合格且竣工</w:t>
      </w:r>
      <w:r>
        <w:rPr>
          <w:rFonts w:hint="default" w:ascii="Times New Roman" w:hAnsi="Times New Roman" w:eastAsia="仿宋_GB2312" w:cs="Times New Roman"/>
          <w:sz w:val="30"/>
          <w:szCs w:val="30"/>
          <w:lang w:val="en-US" w:eastAsia="zh-CN"/>
        </w:rPr>
        <w:t>结算完成</w:t>
      </w:r>
      <w:r>
        <w:rPr>
          <w:rFonts w:hint="eastAsia" w:ascii="Times New Roman" w:hAnsi="Times New Roman" w:eastAsia="仿宋_GB2312" w:cs="Times New Roman"/>
          <w:sz w:val="30"/>
          <w:szCs w:val="30"/>
          <w:lang w:val="en-US" w:eastAsia="zh-CN"/>
        </w:rPr>
        <w:t>之日</w:t>
      </w:r>
      <w:r>
        <w:rPr>
          <w:rFonts w:hint="default" w:ascii="Times New Roman" w:hAnsi="Times New Roman" w:eastAsia="仿宋_GB2312" w:cs="Times New Roman"/>
          <w:sz w:val="30"/>
          <w:szCs w:val="30"/>
          <w:lang w:val="en-US" w:eastAsia="zh-CN"/>
        </w:rPr>
        <w:t>止</w:t>
      </w:r>
      <w:r>
        <w:rPr>
          <w:rFonts w:hint="eastAsia" w:ascii="Times New Roman" w:hAnsi="Times New Roman" w:eastAsia="仿宋_GB2312" w:cs="Times New Roman"/>
          <w:sz w:val="30"/>
          <w:szCs w:val="30"/>
          <w:lang w:val="en-US" w:eastAsia="zh-CN"/>
        </w:rPr>
        <w:t>（</w:t>
      </w:r>
      <w:r>
        <w:rPr>
          <w:rFonts w:hint="eastAsia" w:ascii="Times New Roman" w:hAnsi="Times New Roman" w:eastAsia="仿宋_GB2312" w:cs="Times New Roman"/>
          <w:b w:val="0"/>
          <w:bCs w:val="0"/>
          <w:sz w:val="30"/>
          <w:szCs w:val="30"/>
          <w:lang w:val="en-US" w:eastAsia="zh-CN"/>
        </w:rPr>
        <w:t>暂定两年</w:t>
      </w:r>
      <w:r>
        <w:rPr>
          <w:rFonts w:hint="eastAsia" w:ascii="Times New Roman" w:hAnsi="Times New Roman" w:eastAsia="仿宋_GB2312" w:cs="Times New Roman"/>
          <w:sz w:val="30"/>
          <w:szCs w:val="30"/>
          <w:lang w:val="en-US" w:eastAsia="zh-CN"/>
        </w:rPr>
        <w:t>）</w:t>
      </w:r>
      <w:r>
        <w:rPr>
          <w:rFonts w:hint="eastAsia" w:ascii="Times New Roman" w:hAnsi="Times New Roman" w:eastAsia="仿宋_GB2312" w:cs="Times New Roman"/>
          <w:b w:val="0"/>
          <w:bCs w:val="0"/>
          <w:sz w:val="30"/>
          <w:szCs w:val="30"/>
          <w:lang w:val="en-US" w:eastAsia="zh-CN"/>
        </w:rPr>
        <w:t>；</w:t>
      </w:r>
      <w:r>
        <w:rPr>
          <w:rFonts w:hint="default" w:ascii="Times New Roman" w:hAnsi="Times New Roman" w:eastAsia="仿宋_GB2312" w:cs="Times New Roman"/>
          <w:sz w:val="30"/>
          <w:szCs w:val="30"/>
          <w:highlight w:val="none"/>
          <w:lang w:val="en-US" w:eastAsia="zh-CN"/>
        </w:rPr>
        <w:t>质保期</w:t>
      </w:r>
      <w:r>
        <w:rPr>
          <w:rFonts w:hint="eastAsia" w:ascii="Times New Roman" w:hAnsi="Times New Roman" w:eastAsia="仿宋_GB2312" w:cs="Times New Roman"/>
          <w:sz w:val="30"/>
          <w:szCs w:val="30"/>
          <w:highlight w:val="none"/>
          <w:lang w:val="en-US" w:eastAsia="zh-CN"/>
        </w:rPr>
        <w:t>相关</w:t>
      </w:r>
      <w:r>
        <w:rPr>
          <w:rFonts w:hint="default" w:ascii="Times New Roman" w:hAnsi="Times New Roman" w:eastAsia="仿宋_GB2312" w:cs="Times New Roman"/>
          <w:sz w:val="30"/>
          <w:szCs w:val="30"/>
          <w:highlight w:val="none"/>
          <w:lang w:val="en-US" w:eastAsia="zh-CN"/>
        </w:rPr>
        <w:t>法律事务</w:t>
      </w:r>
      <w:r>
        <w:rPr>
          <w:rFonts w:hint="eastAsia" w:ascii="Times New Roman" w:hAnsi="Times New Roman" w:eastAsia="仿宋_GB2312" w:cs="Times New Roman"/>
          <w:sz w:val="30"/>
          <w:szCs w:val="30"/>
          <w:lang w:val="en-US" w:eastAsia="zh-CN"/>
        </w:rPr>
        <w:t>及</w:t>
      </w:r>
      <w:r>
        <w:rPr>
          <w:rFonts w:hint="default" w:ascii="Times New Roman" w:hAnsi="Times New Roman" w:eastAsia="仿宋_GB2312" w:cs="Times New Roman"/>
          <w:sz w:val="30"/>
          <w:szCs w:val="30"/>
          <w:lang w:val="en-US" w:eastAsia="zh-CN"/>
        </w:rPr>
        <w:t>后续争议解决</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可另行协商签订补充协议</w:t>
      </w:r>
      <w:r>
        <w:rPr>
          <w:rFonts w:hint="eastAsia" w:ascii="Times New Roman" w:hAnsi="Times New Roman" w:eastAsia="仿宋_GB2312" w:cs="Times New Roman"/>
          <w:sz w:val="30"/>
          <w:szCs w:val="30"/>
          <w:lang w:val="en-US" w:eastAsia="zh-CN"/>
        </w:rPr>
        <w:t>。</w:t>
      </w:r>
    </w:p>
    <w:p w14:paraId="1CDA55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三、响应单位资格要求</w:t>
      </w:r>
    </w:p>
    <w:p w14:paraId="41DAD81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1、持有</w:t>
      </w:r>
      <w:r>
        <w:rPr>
          <w:rFonts w:hint="default" w:ascii="Times New Roman" w:hAnsi="Times New Roman" w:eastAsia="仿宋_GB2312" w:cs="Times New Roman"/>
          <w:sz w:val="30"/>
          <w:szCs w:val="30"/>
          <w:lang w:val="en-US" w:eastAsia="zh-CN"/>
        </w:rPr>
        <w:t>司法</w:t>
      </w:r>
      <w:r>
        <w:rPr>
          <w:rFonts w:hint="eastAsia" w:ascii="Times New Roman" w:hAnsi="Times New Roman" w:eastAsia="仿宋_GB2312" w:cs="Times New Roman"/>
          <w:sz w:val="30"/>
          <w:szCs w:val="30"/>
          <w:lang w:val="en-US" w:eastAsia="zh-CN"/>
        </w:rPr>
        <w:t>行政</w:t>
      </w:r>
      <w:r>
        <w:rPr>
          <w:rFonts w:hint="default" w:ascii="Times New Roman" w:hAnsi="Times New Roman" w:eastAsia="仿宋_GB2312" w:cs="Times New Roman"/>
          <w:sz w:val="30"/>
          <w:szCs w:val="30"/>
          <w:lang w:val="en-US" w:eastAsia="zh-CN"/>
        </w:rPr>
        <w:t>机关颁发的律师事务所执业许可证</w:t>
      </w:r>
      <w:r>
        <w:rPr>
          <w:rFonts w:hint="eastAsia" w:ascii="Times New Roman" w:hAnsi="Times New Roman" w:eastAsia="仿宋_GB2312" w:cs="Times New Roman"/>
          <w:sz w:val="30"/>
          <w:szCs w:val="30"/>
          <w:lang w:val="en-US" w:eastAsia="zh-CN"/>
        </w:rPr>
        <w:t>，依法</w:t>
      </w:r>
      <w:r>
        <w:rPr>
          <w:rFonts w:hint="default" w:ascii="Times New Roman" w:hAnsi="Times New Roman" w:eastAsia="仿宋_GB2312" w:cs="Times New Roman"/>
          <w:sz w:val="30"/>
          <w:szCs w:val="30"/>
          <w:lang w:val="en-US" w:eastAsia="zh-CN"/>
        </w:rPr>
        <w:t>成立</w:t>
      </w:r>
      <w:r>
        <w:rPr>
          <w:rFonts w:hint="eastAsia" w:ascii="Times New Roman" w:hAnsi="Times New Roman" w:eastAsia="仿宋_GB2312" w:cs="Times New Roman"/>
          <w:sz w:val="30"/>
          <w:szCs w:val="30"/>
          <w:lang w:val="en-US" w:eastAsia="zh-CN"/>
        </w:rPr>
        <w:t>满</w:t>
      </w:r>
      <w:r>
        <w:rPr>
          <w:rFonts w:hint="default" w:ascii="Times New Roman" w:hAnsi="Times New Roman" w:eastAsia="仿宋_GB2312" w:cs="Times New Roman"/>
          <w:sz w:val="30"/>
          <w:szCs w:val="30"/>
          <w:lang w:val="en-US" w:eastAsia="zh-CN"/>
        </w:rPr>
        <w:t>三年以上、年检合格且未受过任何行政处罚及行业</w:t>
      </w:r>
      <w:r>
        <w:rPr>
          <w:rFonts w:hint="eastAsia" w:ascii="Times New Roman" w:hAnsi="Times New Roman" w:eastAsia="仿宋_GB2312" w:cs="Times New Roman"/>
          <w:sz w:val="30"/>
          <w:szCs w:val="30"/>
          <w:lang w:val="en-US" w:eastAsia="zh-CN"/>
        </w:rPr>
        <w:t>自律</w:t>
      </w:r>
      <w:r>
        <w:rPr>
          <w:rFonts w:hint="default" w:ascii="Times New Roman" w:hAnsi="Times New Roman" w:eastAsia="仿宋_GB2312" w:cs="Times New Roman"/>
          <w:sz w:val="30"/>
          <w:szCs w:val="30"/>
          <w:lang w:val="en-US" w:eastAsia="zh-CN"/>
        </w:rPr>
        <w:t>处分；</w:t>
      </w:r>
    </w:p>
    <w:p w14:paraId="3624581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律所及拟派驻服务律师社会信誉良好，无不良执业</w:t>
      </w:r>
      <w:r>
        <w:rPr>
          <w:rFonts w:hint="eastAsia" w:ascii="Times New Roman" w:hAnsi="Times New Roman" w:eastAsia="仿宋_GB2312" w:cs="Times New Roman"/>
          <w:sz w:val="30"/>
          <w:szCs w:val="30"/>
          <w:lang w:val="en-US" w:eastAsia="zh-CN"/>
        </w:rPr>
        <w:t>、无</w:t>
      </w:r>
      <w:r>
        <w:rPr>
          <w:rFonts w:hint="default" w:ascii="Times New Roman" w:hAnsi="Times New Roman" w:eastAsia="仿宋_GB2312" w:cs="Times New Roman"/>
          <w:sz w:val="30"/>
          <w:szCs w:val="30"/>
          <w:lang w:val="en-US" w:eastAsia="zh-CN"/>
        </w:rPr>
        <w:t>失信惩戒记录；</w:t>
      </w:r>
    </w:p>
    <w:p w14:paraId="36DECFE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3、具备</w:t>
      </w:r>
      <w:r>
        <w:rPr>
          <w:rFonts w:hint="default" w:ascii="Times New Roman" w:hAnsi="Times New Roman" w:eastAsia="仿宋_GB2312" w:cs="Times New Roman"/>
          <w:sz w:val="30"/>
          <w:szCs w:val="30"/>
          <w:lang w:val="en-US" w:eastAsia="zh-CN"/>
        </w:rPr>
        <w:t>建设工程、冶金</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电解铝</w:t>
      </w:r>
      <w:r>
        <w:rPr>
          <w:rFonts w:hint="eastAsia" w:ascii="Times New Roman" w:hAnsi="Times New Roman" w:eastAsia="仿宋_GB2312" w:cs="Times New Roman"/>
          <w:sz w:val="30"/>
          <w:szCs w:val="30"/>
          <w:lang w:val="en-US" w:eastAsia="zh-CN"/>
        </w:rPr>
        <w:t>行业、大型国企常年法律顾问及专项法律服务成熟经验与优良业绩</w:t>
      </w:r>
      <w:r>
        <w:rPr>
          <w:rFonts w:hint="default" w:ascii="Times New Roman" w:hAnsi="Times New Roman" w:eastAsia="仿宋_GB2312" w:cs="Times New Roman"/>
          <w:sz w:val="30"/>
          <w:szCs w:val="30"/>
          <w:lang w:val="en-US" w:eastAsia="zh-CN"/>
        </w:rPr>
        <w:t>；</w:t>
      </w:r>
    </w:p>
    <w:p w14:paraId="3DFFCF5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内部管理制度健全，不低于20人的律师团队；</w:t>
      </w:r>
    </w:p>
    <w:p w14:paraId="5775C0C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5、须组建</w:t>
      </w:r>
      <w:r>
        <w:rPr>
          <w:rFonts w:hint="default" w:ascii="Times New Roman" w:hAnsi="Times New Roman" w:eastAsia="仿宋_GB2312" w:cs="Times New Roman"/>
          <w:sz w:val="30"/>
          <w:szCs w:val="30"/>
          <w:lang w:val="en-US" w:eastAsia="zh-CN"/>
        </w:rPr>
        <w:t>不少于</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人的专项</w:t>
      </w:r>
      <w:r>
        <w:rPr>
          <w:rFonts w:hint="eastAsia" w:ascii="Times New Roman" w:hAnsi="Times New Roman" w:eastAsia="仿宋_GB2312" w:cs="Times New Roman"/>
          <w:sz w:val="30"/>
          <w:szCs w:val="30"/>
          <w:lang w:val="en-US" w:eastAsia="zh-CN"/>
        </w:rPr>
        <w:t>法律服务</w:t>
      </w:r>
      <w:r>
        <w:rPr>
          <w:rFonts w:hint="default" w:ascii="Times New Roman" w:hAnsi="Times New Roman" w:eastAsia="仿宋_GB2312" w:cs="Times New Roman"/>
          <w:sz w:val="30"/>
          <w:szCs w:val="30"/>
          <w:lang w:val="en-US" w:eastAsia="zh-CN"/>
        </w:rPr>
        <w:t>律师团队</w:t>
      </w:r>
      <w:r>
        <w:rPr>
          <w:rFonts w:hint="eastAsia" w:ascii="Times New Roman" w:hAnsi="Times New Roman" w:eastAsia="仿宋_GB2312" w:cs="Times New Roman"/>
          <w:sz w:val="30"/>
          <w:szCs w:val="30"/>
          <w:lang w:val="en-US" w:eastAsia="zh-CN"/>
        </w:rPr>
        <w:t>，其中</w:t>
      </w:r>
      <w:r>
        <w:rPr>
          <w:rFonts w:hint="default" w:ascii="Times New Roman" w:hAnsi="Times New Roman" w:eastAsia="仿宋_GB2312" w:cs="Times New Roman"/>
          <w:sz w:val="30"/>
          <w:szCs w:val="30"/>
          <w:lang w:val="en-US" w:eastAsia="zh-CN"/>
        </w:rPr>
        <w:t>至少</w:t>
      </w:r>
      <w:r>
        <w:rPr>
          <w:rFonts w:hint="eastAsia" w:ascii="Times New Roman" w:hAnsi="Times New Roman" w:eastAsia="仿宋_GB2312" w:cs="Times New Roman"/>
          <w:sz w:val="30"/>
          <w:szCs w:val="30"/>
          <w:lang w:val="en-US" w:eastAsia="zh-CN"/>
        </w:rPr>
        <w:t>配备</w:t>
      </w:r>
      <w:r>
        <w:rPr>
          <w:rFonts w:hint="default" w:ascii="Times New Roman" w:hAnsi="Times New Roman" w:eastAsia="仿宋_GB2312" w:cs="Times New Roman"/>
          <w:sz w:val="30"/>
          <w:szCs w:val="30"/>
          <w:lang w:val="en-US" w:eastAsia="zh-CN"/>
        </w:rPr>
        <w:t>两名执业年限十年以上专业律师</w:t>
      </w:r>
      <w:r>
        <w:rPr>
          <w:rFonts w:hint="eastAsia" w:ascii="Times New Roman" w:hAnsi="Times New Roman" w:eastAsia="仿宋_GB2312" w:cs="Times New Roman"/>
          <w:sz w:val="30"/>
          <w:szCs w:val="30"/>
          <w:lang w:val="en-US" w:eastAsia="zh-CN"/>
        </w:rPr>
        <w:t>（含一名建筑工程专业律师）</w:t>
      </w:r>
      <w:r>
        <w:rPr>
          <w:rFonts w:hint="default" w:ascii="Times New Roman" w:hAnsi="Times New Roman" w:eastAsia="仿宋_GB2312" w:cs="Times New Roman"/>
          <w:sz w:val="30"/>
          <w:szCs w:val="30"/>
          <w:lang w:val="en-US" w:eastAsia="zh-CN"/>
        </w:rPr>
        <w:t>，可根据项目需要现场参会、提供面对面法律支持；</w:t>
      </w:r>
    </w:p>
    <w:p w14:paraId="0321CF8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能够按照采购人要求提供快速响应</w:t>
      </w:r>
      <w:r>
        <w:rPr>
          <w:rFonts w:hint="eastAsia" w:ascii="Times New Roman" w:hAnsi="Times New Roman" w:eastAsia="仿宋_GB2312" w:cs="Times New Roman"/>
          <w:sz w:val="30"/>
          <w:szCs w:val="30"/>
          <w:lang w:val="en-US" w:eastAsia="zh-CN"/>
        </w:rPr>
        <w:t>、必要时赴新疆项目现场及业务关联地点出差的法律</w:t>
      </w:r>
      <w:r>
        <w:rPr>
          <w:rFonts w:hint="default" w:ascii="Times New Roman" w:hAnsi="Times New Roman" w:eastAsia="仿宋_GB2312" w:cs="Times New Roman"/>
          <w:sz w:val="30"/>
          <w:szCs w:val="30"/>
          <w:lang w:val="en-US" w:eastAsia="zh-CN"/>
        </w:rPr>
        <w:t>服务，</w:t>
      </w:r>
      <w:r>
        <w:rPr>
          <w:rFonts w:hint="eastAsia" w:ascii="Times New Roman" w:hAnsi="Times New Roman" w:eastAsia="仿宋_GB2312" w:cs="Times New Roman"/>
          <w:sz w:val="30"/>
          <w:szCs w:val="30"/>
          <w:lang w:val="en-US" w:eastAsia="zh-CN"/>
        </w:rPr>
        <w:t>勤勉尽责完成各项</w:t>
      </w:r>
      <w:r>
        <w:rPr>
          <w:rFonts w:hint="default" w:ascii="Times New Roman" w:hAnsi="Times New Roman" w:eastAsia="仿宋_GB2312" w:cs="Times New Roman"/>
          <w:sz w:val="30"/>
          <w:szCs w:val="30"/>
          <w:lang w:val="en-US" w:eastAsia="zh-CN"/>
        </w:rPr>
        <w:t>法律服务</w:t>
      </w:r>
      <w:r>
        <w:rPr>
          <w:rFonts w:hint="eastAsia" w:ascii="Times New Roman" w:hAnsi="Times New Roman" w:eastAsia="仿宋_GB2312" w:cs="Times New Roman"/>
          <w:sz w:val="30"/>
          <w:szCs w:val="30"/>
          <w:lang w:val="en-US" w:eastAsia="zh-CN"/>
        </w:rPr>
        <w:t>事项</w:t>
      </w:r>
      <w:r>
        <w:rPr>
          <w:rFonts w:hint="default" w:ascii="Times New Roman" w:hAnsi="Times New Roman" w:eastAsia="仿宋_GB2312" w:cs="Times New Roman"/>
          <w:sz w:val="30"/>
          <w:szCs w:val="30"/>
          <w:lang w:val="en-US" w:eastAsia="zh-CN"/>
        </w:rPr>
        <w:t>。</w:t>
      </w:r>
    </w:p>
    <w:p w14:paraId="33F7EE50">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jc w:val="center"/>
        <w:textAlignment w:val="auto"/>
        <w:outlineLvl w:val="1"/>
        <w:rPr>
          <w:rFonts w:hint="default" w:ascii="Times New Roman" w:hAnsi="Times New Roman" w:eastAsia="黑体" w:cs="Times New Roman"/>
          <w:b w:val="0"/>
          <w:bCs/>
          <w:sz w:val="32"/>
          <w:szCs w:val="32"/>
        </w:rPr>
      </w:pPr>
      <w:bookmarkStart w:id="1" w:name="heading_2"/>
      <w:r>
        <w:rPr>
          <w:rFonts w:hint="default" w:ascii="Times New Roman" w:hAnsi="Times New Roman" w:eastAsia="黑体" w:cs="Times New Roman"/>
          <w:b w:val="0"/>
          <w:bCs/>
          <w:sz w:val="32"/>
          <w:szCs w:val="32"/>
        </w:rPr>
        <w:t>第二章 项目需求与服务范围</w:t>
      </w:r>
      <w:bookmarkEnd w:id="1"/>
    </w:p>
    <w:p w14:paraId="0E9BED4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本项目为EPC总承包合同</w:t>
      </w:r>
      <w:r>
        <w:rPr>
          <w:rFonts w:hint="eastAsia" w:ascii="Times New Roman" w:hAnsi="Times New Roman" w:eastAsia="仿宋_GB2312" w:cs="Times New Roman"/>
          <w:sz w:val="30"/>
          <w:szCs w:val="30"/>
          <w:lang w:val="en-US" w:eastAsia="zh-CN"/>
        </w:rPr>
        <w:t>履约阶段</w:t>
      </w:r>
      <w:r>
        <w:rPr>
          <w:rFonts w:hint="default" w:ascii="Times New Roman" w:hAnsi="Times New Roman" w:eastAsia="仿宋_GB2312" w:cs="Times New Roman"/>
          <w:sz w:val="30"/>
          <w:szCs w:val="30"/>
          <w:lang w:val="en-US" w:eastAsia="zh-CN"/>
        </w:rPr>
        <w:t>全生命周期闭环</w:t>
      </w:r>
      <w:r>
        <w:rPr>
          <w:rFonts w:hint="eastAsia" w:ascii="Times New Roman" w:hAnsi="Times New Roman" w:eastAsia="仿宋_GB2312" w:cs="Times New Roman"/>
          <w:sz w:val="30"/>
          <w:szCs w:val="30"/>
          <w:lang w:val="en-US" w:eastAsia="zh-CN"/>
        </w:rPr>
        <w:t>式</w:t>
      </w:r>
      <w:r>
        <w:rPr>
          <w:rFonts w:hint="default" w:ascii="Times New Roman" w:hAnsi="Times New Roman" w:eastAsia="仿宋_GB2312" w:cs="Times New Roman"/>
          <w:sz w:val="30"/>
          <w:szCs w:val="30"/>
          <w:lang w:val="en-US" w:eastAsia="zh-CN"/>
        </w:rPr>
        <w:t>风控法律服务，聚焦法律审查、风险防控、文件合规、争议处理</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不包含工程计量、造价核算、工程技术审核等专业技术事项。</w:t>
      </w:r>
    </w:p>
    <w:p w14:paraId="0719FB8C">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color w:val="FF0000"/>
          <w:sz w:val="30"/>
          <w:szCs w:val="30"/>
          <w:lang w:val="en-US" w:eastAsia="zh-CN"/>
        </w:rPr>
      </w:pPr>
      <w:bookmarkStart w:id="2" w:name="heading_12"/>
      <w:r>
        <w:rPr>
          <w:rFonts w:hint="default" w:ascii="Times New Roman" w:hAnsi="Times New Roman" w:eastAsia="仿宋_GB2312" w:cs="Times New Roman"/>
          <w:b/>
          <w:bCs/>
          <w:color w:val="auto"/>
          <w:sz w:val="30"/>
          <w:szCs w:val="30"/>
          <w:lang w:val="en-US" w:eastAsia="zh-CN"/>
        </w:rPr>
        <w:t>特别说明：本项目EPC主合同已完成签订且项目已开工，本次法律服务不包含EPC主合同签约谈判、主合同文本起草审核、招投标文件法律评审等已完成前期工作。</w:t>
      </w:r>
    </w:p>
    <w:p w14:paraId="18BCE41E">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一、补充协议及配套协议法律服务</w:t>
      </w:r>
    </w:p>
    <w:p w14:paraId="4DFBBCE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1、参与EPC项目后续补充协议、技术协议的商务谈判、文本起草、法律审核及条款修订完善。</w:t>
      </w:r>
    </w:p>
    <w:p w14:paraId="62AC094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2、审查合同相</w:t>
      </w:r>
      <w:r>
        <w:rPr>
          <w:rFonts w:hint="eastAsia" w:ascii="Times New Roman" w:hAnsi="Times New Roman" w:eastAsia="仿宋_GB2312" w:cs="Times New Roman"/>
          <w:sz w:val="30"/>
          <w:szCs w:val="30"/>
          <w:lang w:val="en-US" w:eastAsia="zh-CN"/>
        </w:rPr>
        <w:t>关</w:t>
      </w:r>
      <w:r>
        <w:rPr>
          <w:rFonts w:hint="default" w:ascii="Times New Roman" w:hAnsi="Times New Roman" w:eastAsia="仿宋_GB2312" w:cs="Times New Roman"/>
          <w:sz w:val="30"/>
          <w:szCs w:val="30"/>
          <w:lang w:val="en-US" w:eastAsia="zh-CN"/>
        </w:rPr>
        <w:t>方主体资格、专业资质、履约业绩、履约实力及各类银行保函、履约担保文件的合法合规性与有效性。</w:t>
      </w:r>
    </w:p>
    <w:p w14:paraId="626CC1B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3、审核补充协议工期、价款、支付、违约、赔偿、质保、免责、争议解决等核心条款。</w:t>
      </w:r>
    </w:p>
    <w:p w14:paraId="66FA9B0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4、出具补充协议</w:t>
      </w:r>
      <w:r>
        <w:rPr>
          <w:rFonts w:hint="eastAsia" w:ascii="Times New Roman" w:hAnsi="Times New Roman" w:eastAsia="仿宋_GB2312" w:cs="Times New Roman"/>
          <w:sz w:val="30"/>
          <w:szCs w:val="30"/>
          <w:lang w:val="en-US" w:eastAsia="zh-CN"/>
        </w:rPr>
        <w:t>、会议纪要、备忘录、往来函件等书面资料的</w:t>
      </w:r>
      <w:r>
        <w:rPr>
          <w:rFonts w:hint="default" w:ascii="Times New Roman" w:hAnsi="Times New Roman" w:eastAsia="仿宋_GB2312" w:cs="Times New Roman"/>
          <w:sz w:val="30"/>
          <w:szCs w:val="30"/>
          <w:lang w:val="en-US" w:eastAsia="zh-CN"/>
        </w:rPr>
        <w:t>法律意见书、履约风险防控清单、条款修订建议稿等正式成果文件。</w:t>
      </w:r>
    </w:p>
    <w:p w14:paraId="2F3B46BF">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二、合同履约全过程风控服务</w:t>
      </w:r>
    </w:p>
    <w:p w14:paraId="1EE973B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1、对工程签证、设计变更、工期索赔与反索赔、设备材料采购、</w:t>
      </w:r>
      <w:r>
        <w:rPr>
          <w:rFonts w:hint="eastAsia" w:ascii="Times New Roman" w:hAnsi="Times New Roman" w:eastAsia="仿宋_GB2312" w:cs="Times New Roman"/>
          <w:sz w:val="30"/>
          <w:szCs w:val="30"/>
          <w:lang w:val="en-US" w:eastAsia="zh-CN"/>
        </w:rPr>
        <w:t>设备安装调试、</w:t>
      </w:r>
      <w:r>
        <w:rPr>
          <w:rFonts w:hint="default" w:ascii="Times New Roman" w:hAnsi="Times New Roman" w:eastAsia="仿宋_GB2312" w:cs="Times New Roman"/>
          <w:sz w:val="30"/>
          <w:szCs w:val="30"/>
          <w:lang w:val="en-US" w:eastAsia="zh-CN"/>
        </w:rPr>
        <w:t>专业分包、安全生产、环境保护等事项进行全过程法律跟踪研判并出具风险预警提示。</w:t>
      </w:r>
    </w:p>
    <w:p w14:paraId="7D88DA7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2、审核工程签证单、设计变更文件、工期顺延申请、材料价格调整、现场指令等文书的合法性、程序合规性及证据留存效力（不含工程量核算、造价审价）。</w:t>
      </w:r>
    </w:p>
    <w:p w14:paraId="2A76E62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3、指导项目开展索赔与反索赔工作，负责事实证据固定、法律函件起草、时效节点管控、商务谈判法律支撑。</w:t>
      </w:r>
    </w:p>
    <w:p w14:paraId="7DDFD82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4、对工程分包合同、物资采购合同、检测咨询合同等配套合同文本进行法律审核。</w:t>
      </w:r>
    </w:p>
    <w:p w14:paraId="6D8E1A1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5、提供工程质量、安全生产、生态环保、消防验收、职业健康等领域合规审查及整改处置法律支持。</w:t>
      </w:r>
    </w:p>
    <w:p w14:paraId="18C3AB7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6、专项提供农民工工资劳资纠纷调处、欠薪风险防范、涉薪信访及仲裁诉讼前置化解、用工合规体系建设法律服务。</w:t>
      </w:r>
    </w:p>
    <w:p w14:paraId="39FC4E36">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三、专项合规与文书管理</w:t>
      </w:r>
    </w:p>
    <w:p w14:paraId="51094D3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1、对招标采购程序、联合体投标、工程分包、劳务分包等事项开展合规性审查及风险把控。</w:t>
      </w:r>
    </w:p>
    <w:p w14:paraId="66D2993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2、对履约保函、预付款保函、质量保修保函、工程保险、履约担保、质保金设置等进行法律归口管理及风险提示。</w:t>
      </w:r>
    </w:p>
    <w:p w14:paraId="7590AB5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3、为项目</w:t>
      </w:r>
      <w:r>
        <w:rPr>
          <w:rFonts w:hint="eastAsia" w:ascii="Times New Roman" w:hAnsi="Times New Roman" w:eastAsia="仿宋_GB2312" w:cs="Times New Roman"/>
          <w:sz w:val="30"/>
          <w:szCs w:val="30"/>
          <w:lang w:val="en-US" w:eastAsia="zh-CN"/>
        </w:rPr>
        <w:t>相关</w:t>
      </w:r>
      <w:r>
        <w:rPr>
          <w:rFonts w:hint="default" w:ascii="Times New Roman" w:hAnsi="Times New Roman" w:eastAsia="仿宋_GB2312" w:cs="Times New Roman"/>
          <w:sz w:val="30"/>
          <w:szCs w:val="30"/>
          <w:lang w:val="en-US" w:eastAsia="zh-CN"/>
        </w:rPr>
        <w:t>行政审批手续衔接提供法律政策咨询及合规支持。</w:t>
      </w:r>
    </w:p>
    <w:p w14:paraId="214DD96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4、负责各类催告函、律师函、复工/停工通知、合同解除告知等正式法律文书的起草、审核与送达指导。</w:t>
      </w:r>
    </w:p>
    <w:p w14:paraId="2025E325">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四、结算与质保阶段法律服务</w:t>
      </w:r>
    </w:p>
    <w:p w14:paraId="5236884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1、参与项目竣工结算商务谈判，对结算资料的法律合规性、完整性、证据有效性进行审查（不含造价金额、工程量专业核算）。</w:t>
      </w:r>
    </w:p>
    <w:p w14:paraId="5207DF7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2、协助处理工程扣款、履约违约、索赔追责等相关法律事务。</w:t>
      </w:r>
    </w:p>
    <w:p w14:paraId="1BCD47F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3、负责项目合同收尾梳理、法律资料归档及全项目履约法律风险复盘总结。</w:t>
      </w:r>
    </w:p>
    <w:p w14:paraId="4BF8D9BE">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五、争议解决法律服务</w:t>
      </w:r>
    </w:p>
    <w:p w14:paraId="1247A92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1、为项目各类商事纠纷、履约争议提供协商沟通、居中调解、商务谈判全程法律支持。</w:t>
      </w:r>
    </w:p>
    <w:p w14:paraId="452A5E5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2、项目相关诉讼、仲裁、财产保全、强制执行等代理服务费用另行协商计费，不包含在本次包干服务总价范围内。</w:t>
      </w:r>
    </w:p>
    <w:p w14:paraId="7AD047C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3、协助</w:t>
      </w:r>
      <w:r>
        <w:rPr>
          <w:rFonts w:hint="default" w:ascii="Times New Roman" w:hAnsi="Times New Roman" w:eastAsia="仿宋_GB2312" w:cs="Times New Roman"/>
          <w:color w:val="auto"/>
          <w:sz w:val="30"/>
          <w:szCs w:val="30"/>
          <w:lang w:val="en-US" w:eastAsia="zh-CN"/>
        </w:rPr>
        <w:t>采购人</w:t>
      </w:r>
      <w:r>
        <w:rPr>
          <w:rFonts w:hint="default" w:ascii="Times New Roman" w:hAnsi="Times New Roman" w:eastAsia="仿宋_GB2312" w:cs="Times New Roman"/>
          <w:sz w:val="30"/>
          <w:szCs w:val="30"/>
          <w:lang w:val="en-US" w:eastAsia="zh-CN"/>
        </w:rPr>
        <w:t>应对行业行政检查、行政处罚、行政复议及行政诉讼等法律事务。</w:t>
      </w:r>
    </w:p>
    <w:p w14:paraId="5758544F">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jc w:val="center"/>
        <w:textAlignment w:val="auto"/>
        <w:outlineLvl w:val="1"/>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第三章 响应文件及述标要求</w:t>
      </w:r>
    </w:p>
    <w:p w14:paraId="40B061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一、响应文件内容</w:t>
      </w:r>
    </w:p>
    <w:p w14:paraId="3F5EF4A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律所基本情况、年检合格的律师事务所执业许可证副本复印件（加盖公章）；</w:t>
      </w:r>
    </w:p>
    <w:p w14:paraId="72E7DED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项目报价单（统一格式，详见附件1）；</w:t>
      </w:r>
    </w:p>
    <w:p w14:paraId="76068D0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律所及律师未受过任何处罚的承诺函；</w:t>
      </w:r>
    </w:p>
    <w:p w14:paraId="2268128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拟选派律师团队（主办律师及团队成员）简历、执业经验、</w:t>
      </w:r>
      <w:r>
        <w:rPr>
          <w:rFonts w:hint="eastAsia" w:ascii="Times New Roman" w:hAnsi="Times New Roman" w:eastAsia="仿宋_GB2312" w:cs="Times New Roman"/>
          <w:sz w:val="30"/>
          <w:szCs w:val="30"/>
          <w:lang w:val="en-US" w:eastAsia="zh-CN"/>
        </w:rPr>
        <w:t>专业经验与</w:t>
      </w:r>
      <w:r>
        <w:rPr>
          <w:rFonts w:hint="default" w:ascii="Times New Roman" w:hAnsi="Times New Roman" w:eastAsia="仿宋_GB2312" w:cs="Times New Roman"/>
          <w:sz w:val="30"/>
          <w:szCs w:val="30"/>
          <w:lang w:val="en-US" w:eastAsia="zh-CN"/>
        </w:rPr>
        <w:t>业绩，提供2名10年以上执业律师证明材料；</w:t>
      </w:r>
    </w:p>
    <w:p w14:paraId="6395444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近3年电解铝/冶金工业/ 大</w:t>
      </w:r>
      <w:r>
        <w:rPr>
          <w:rFonts w:hint="eastAsia" w:ascii="Times New Roman" w:hAnsi="Times New Roman" w:eastAsia="仿宋_GB2312" w:cs="Times New Roman"/>
          <w:sz w:val="30"/>
          <w:szCs w:val="30"/>
          <w:lang w:val="en-US" w:eastAsia="zh-CN"/>
        </w:rPr>
        <w:t>中</w:t>
      </w:r>
      <w:r>
        <w:rPr>
          <w:rFonts w:hint="default" w:ascii="Times New Roman" w:hAnsi="Times New Roman" w:eastAsia="仿宋_GB2312" w:cs="Times New Roman"/>
          <w:sz w:val="30"/>
          <w:szCs w:val="30"/>
          <w:lang w:val="en-US" w:eastAsia="zh-CN"/>
        </w:rPr>
        <w:t>型国有企业（注册资本≥</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亿元）同类服务业绩证明；</w:t>
      </w:r>
    </w:p>
    <w:p w14:paraId="4DD8A36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专项服务方案、风控流程、交付成果</w:t>
      </w:r>
      <w:r>
        <w:rPr>
          <w:rFonts w:hint="eastAsia" w:ascii="Times New Roman" w:hAnsi="Times New Roman" w:eastAsia="仿宋_GB2312" w:cs="Times New Roman"/>
          <w:sz w:val="30"/>
          <w:szCs w:val="30"/>
          <w:lang w:val="en-US" w:eastAsia="zh-CN"/>
        </w:rPr>
        <w:t>及</w:t>
      </w:r>
      <w:r>
        <w:rPr>
          <w:rFonts w:hint="default" w:ascii="Times New Roman" w:hAnsi="Times New Roman" w:eastAsia="仿宋_GB2312" w:cs="Times New Roman"/>
          <w:sz w:val="30"/>
          <w:szCs w:val="30"/>
          <w:lang w:val="en-US" w:eastAsia="zh-CN"/>
        </w:rPr>
        <w:t>服务保障机制；</w:t>
      </w:r>
    </w:p>
    <w:p w14:paraId="573D803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法定代表人授权委托书（附件3）、廉政承诺书（附件4）、供应商承诺函（附件5）。</w:t>
      </w:r>
    </w:p>
    <w:p w14:paraId="73937F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二、响应文件编制要求</w:t>
      </w:r>
    </w:p>
    <w:p w14:paraId="5BB89EA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响应文件装订成册，正本一份、副本</w:t>
      </w:r>
      <w:r>
        <w:rPr>
          <w:rFonts w:hint="eastAsia" w:ascii="Times New Roman" w:hAnsi="Times New Roman" w:eastAsia="仿宋_GB2312" w:cs="Times New Roman"/>
          <w:sz w:val="30"/>
          <w:szCs w:val="30"/>
          <w:lang w:val="en-US" w:eastAsia="zh-CN"/>
        </w:rPr>
        <w:t>三</w:t>
      </w:r>
      <w:r>
        <w:rPr>
          <w:rFonts w:hint="default" w:ascii="Times New Roman" w:hAnsi="Times New Roman" w:eastAsia="仿宋_GB2312" w:cs="Times New Roman"/>
          <w:sz w:val="30"/>
          <w:szCs w:val="30"/>
          <w:lang w:val="en-US" w:eastAsia="zh-CN"/>
        </w:rPr>
        <w:t>份，共计</w:t>
      </w:r>
      <w:r>
        <w:rPr>
          <w:rFonts w:hint="eastAsia" w:ascii="Times New Roman" w:hAnsi="Times New Roman" w:eastAsia="仿宋_GB2312" w:cs="Times New Roman"/>
          <w:sz w:val="30"/>
          <w:szCs w:val="30"/>
          <w:lang w:val="en-US" w:eastAsia="zh-CN"/>
        </w:rPr>
        <w:t>四</w:t>
      </w:r>
      <w:r>
        <w:rPr>
          <w:rFonts w:hint="default" w:ascii="Times New Roman" w:hAnsi="Times New Roman" w:eastAsia="仿宋_GB2312" w:cs="Times New Roman"/>
          <w:sz w:val="30"/>
          <w:szCs w:val="30"/>
          <w:lang w:val="en-US" w:eastAsia="zh-CN"/>
        </w:rPr>
        <w:t>份；</w:t>
      </w:r>
    </w:p>
    <w:p w14:paraId="6E093A2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须在规定签章处签字并加盖单位公章；</w:t>
      </w:r>
    </w:p>
    <w:p w14:paraId="23556AA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、采用不</w:t>
      </w:r>
      <w:r>
        <w:rPr>
          <w:rFonts w:hint="default" w:ascii="Times New Roman" w:hAnsi="Times New Roman" w:eastAsia="仿宋_GB2312" w:cs="Times New Roman"/>
          <w:sz w:val="30"/>
          <w:szCs w:val="30"/>
          <w:lang w:val="en-US" w:eastAsia="zh-CN"/>
        </w:rPr>
        <w:t>透明文件袋密封，封袋骑缝处注明单位全称并加盖公章；</w:t>
      </w:r>
    </w:p>
    <w:p w14:paraId="34430B1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报价单按附件1格式填报完整并加盖公章，附分阶段报价明细（格式自拟）并盖章；</w:t>
      </w:r>
    </w:p>
    <w:p w14:paraId="0217B8D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、无论</w:t>
      </w:r>
      <w:r>
        <w:rPr>
          <w:rFonts w:hint="default" w:ascii="Times New Roman" w:hAnsi="Times New Roman" w:eastAsia="仿宋_GB2312" w:cs="Times New Roman"/>
          <w:sz w:val="30"/>
          <w:szCs w:val="30"/>
          <w:lang w:val="en-US" w:eastAsia="zh-CN"/>
        </w:rPr>
        <w:t>响应是否被采纳，响应文件均</w:t>
      </w:r>
      <w:r>
        <w:rPr>
          <w:rFonts w:hint="eastAsia" w:ascii="Times New Roman" w:hAnsi="Times New Roman" w:eastAsia="仿宋_GB2312" w:cs="Times New Roman"/>
          <w:sz w:val="30"/>
          <w:szCs w:val="30"/>
          <w:lang w:val="en-US" w:eastAsia="zh-CN"/>
        </w:rPr>
        <w:t>不予</w:t>
      </w:r>
      <w:r>
        <w:rPr>
          <w:rFonts w:hint="default" w:ascii="Times New Roman" w:hAnsi="Times New Roman" w:eastAsia="仿宋_GB2312" w:cs="Times New Roman"/>
          <w:sz w:val="30"/>
          <w:szCs w:val="30"/>
          <w:lang w:val="en-US" w:eastAsia="zh-CN"/>
        </w:rPr>
        <w:t>退还。</w:t>
      </w:r>
    </w:p>
    <w:p w14:paraId="3C82E7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三、述标内容及要求</w:t>
      </w:r>
    </w:p>
    <w:p w14:paraId="07E2157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述标资料：PPT（</w:t>
      </w:r>
      <w:r>
        <w:rPr>
          <w:rFonts w:hint="eastAsia" w:ascii="Times New Roman" w:hAnsi="Times New Roman" w:eastAsia="仿宋_GB2312" w:cs="Times New Roman"/>
          <w:sz w:val="30"/>
          <w:szCs w:val="30"/>
          <w:lang w:val="en-US" w:eastAsia="zh-CN"/>
        </w:rPr>
        <w:t>页数</w:t>
      </w:r>
      <w:r>
        <w:rPr>
          <w:rFonts w:hint="default" w:ascii="Times New Roman" w:hAnsi="Times New Roman" w:eastAsia="仿宋_GB2312" w:cs="Times New Roman"/>
          <w:sz w:val="30"/>
          <w:szCs w:val="30"/>
          <w:lang w:val="en-US" w:eastAsia="zh-CN"/>
        </w:rPr>
        <w:t>不超过20页）、书面述标文稿（Word 版）；</w:t>
      </w:r>
    </w:p>
    <w:p w14:paraId="6718011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述标时长：10分钟，评审提问5分钟；</w:t>
      </w:r>
    </w:p>
    <w:p w14:paraId="75B57AF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述标必须包含内容：</w:t>
      </w:r>
    </w:p>
    <w:p w14:paraId="19DCEDD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（1）对58万吨电解铝EPC项目</w:t>
      </w:r>
      <w:r>
        <w:rPr>
          <w:rFonts w:hint="eastAsia" w:ascii="Times New Roman" w:hAnsi="Times New Roman" w:eastAsia="仿宋_GB2312" w:cs="Times New Roman"/>
          <w:sz w:val="30"/>
          <w:szCs w:val="30"/>
          <w:lang w:val="en-US" w:eastAsia="zh-CN"/>
        </w:rPr>
        <w:t>履约阶段</w:t>
      </w:r>
      <w:r>
        <w:rPr>
          <w:rFonts w:hint="default" w:ascii="Times New Roman" w:hAnsi="Times New Roman" w:eastAsia="仿宋_GB2312" w:cs="Times New Roman"/>
          <w:sz w:val="30"/>
          <w:szCs w:val="30"/>
          <w:lang w:val="en-US" w:eastAsia="zh-CN"/>
        </w:rPr>
        <w:t>法律风险的理解</w:t>
      </w:r>
      <w:r>
        <w:rPr>
          <w:rFonts w:hint="eastAsia" w:ascii="Times New Roman" w:hAnsi="Times New Roman" w:eastAsia="仿宋_GB2312" w:cs="Times New Roman"/>
          <w:sz w:val="30"/>
          <w:szCs w:val="30"/>
          <w:lang w:val="en-US" w:eastAsia="zh-CN"/>
        </w:rPr>
        <w:t>与研判</w:t>
      </w:r>
      <w:r>
        <w:rPr>
          <w:rFonts w:hint="default" w:ascii="Times New Roman" w:hAnsi="Times New Roman" w:eastAsia="仿宋_GB2312" w:cs="Times New Roman"/>
          <w:sz w:val="30"/>
          <w:szCs w:val="30"/>
          <w:lang w:val="en-US" w:eastAsia="zh-CN"/>
        </w:rPr>
        <w:t>；</w:t>
      </w:r>
    </w:p>
    <w:p w14:paraId="4890F7E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（2）同类冶金/电解铝/</w:t>
      </w:r>
      <w:r>
        <w:rPr>
          <w:rFonts w:hint="eastAsia" w:ascii="Times New Roman" w:hAnsi="Times New Roman" w:eastAsia="仿宋_GB2312" w:cs="Times New Roman"/>
          <w:sz w:val="30"/>
          <w:szCs w:val="30"/>
          <w:lang w:val="en-US" w:eastAsia="zh-CN"/>
        </w:rPr>
        <w:t>大型国企</w:t>
      </w:r>
      <w:r>
        <w:rPr>
          <w:rFonts w:hint="default" w:ascii="Times New Roman" w:hAnsi="Times New Roman" w:eastAsia="仿宋_GB2312" w:cs="Times New Roman"/>
          <w:sz w:val="30"/>
          <w:szCs w:val="30"/>
          <w:lang w:val="en-US" w:eastAsia="zh-CN"/>
        </w:rPr>
        <w:t>项目服务业绩；</w:t>
      </w:r>
    </w:p>
    <w:p w14:paraId="5F5C1DD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（3）专属服务团队、10年以上执业律师配置</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不要求全程驻场，但根据项目需要及时</w:t>
      </w:r>
      <w:r>
        <w:rPr>
          <w:rFonts w:hint="eastAsia" w:ascii="Times New Roman" w:hAnsi="Times New Roman" w:eastAsia="仿宋_GB2312" w:cs="Times New Roman"/>
          <w:sz w:val="30"/>
          <w:szCs w:val="30"/>
          <w:lang w:val="en-US" w:eastAsia="zh-CN"/>
        </w:rPr>
        <w:t>赴</w:t>
      </w:r>
      <w:r>
        <w:rPr>
          <w:rFonts w:hint="default" w:ascii="Times New Roman" w:hAnsi="Times New Roman" w:eastAsia="仿宋_GB2312" w:cs="Times New Roman"/>
          <w:sz w:val="30"/>
          <w:szCs w:val="30"/>
          <w:lang w:val="en-US" w:eastAsia="zh-CN"/>
        </w:rPr>
        <w:t>现场出差支持、响应时效</w:t>
      </w:r>
      <w:r>
        <w:rPr>
          <w:rFonts w:hint="eastAsia" w:ascii="Times New Roman" w:hAnsi="Times New Roman" w:eastAsia="仿宋_GB2312" w:cs="Times New Roman"/>
          <w:sz w:val="30"/>
          <w:szCs w:val="30"/>
          <w:lang w:val="en-US" w:eastAsia="zh-CN"/>
        </w:rPr>
        <w:t>保障措施</w:t>
      </w:r>
      <w:r>
        <w:rPr>
          <w:rFonts w:hint="default" w:ascii="Times New Roman" w:hAnsi="Times New Roman" w:eastAsia="仿宋_GB2312" w:cs="Times New Roman"/>
          <w:sz w:val="30"/>
          <w:szCs w:val="30"/>
          <w:lang w:val="en-US" w:eastAsia="zh-CN"/>
        </w:rPr>
        <w:t>；</w:t>
      </w:r>
    </w:p>
    <w:p w14:paraId="730CB76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（4）补充协议—履约管控—变更签证—索赔反索赔—竣工结算 —争议化解全流程整体服务实施方案；</w:t>
      </w:r>
    </w:p>
    <w:p w14:paraId="1863444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（5）合同履约风控要点、变更签证合规把控、索赔与反索赔策略、竣工结算法律应对专项方案；</w:t>
      </w:r>
    </w:p>
    <w:p w14:paraId="31F0416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（6）服务保障</w:t>
      </w:r>
      <w:r>
        <w:rPr>
          <w:rFonts w:hint="eastAsia" w:ascii="Times New Roman" w:hAnsi="Times New Roman" w:eastAsia="仿宋_GB2312" w:cs="Times New Roman"/>
          <w:sz w:val="30"/>
          <w:szCs w:val="30"/>
          <w:lang w:val="en-US" w:eastAsia="zh-CN"/>
        </w:rPr>
        <w:t>措施</w:t>
      </w:r>
      <w:r>
        <w:rPr>
          <w:rFonts w:hint="default" w:ascii="Times New Roman" w:hAnsi="Times New Roman" w:eastAsia="仿宋_GB2312" w:cs="Times New Roman"/>
          <w:sz w:val="30"/>
          <w:szCs w:val="30"/>
          <w:lang w:val="en-US" w:eastAsia="zh-CN"/>
        </w:rPr>
        <w:t>、报价构成</w:t>
      </w:r>
      <w:r>
        <w:rPr>
          <w:rFonts w:hint="eastAsia" w:ascii="Times New Roman" w:hAnsi="Times New Roman" w:eastAsia="仿宋_GB2312" w:cs="Times New Roman"/>
          <w:sz w:val="30"/>
          <w:szCs w:val="30"/>
          <w:lang w:val="en-US" w:eastAsia="zh-CN"/>
        </w:rPr>
        <w:t>及</w:t>
      </w:r>
      <w:r>
        <w:rPr>
          <w:rFonts w:hint="default" w:ascii="Times New Roman" w:hAnsi="Times New Roman" w:eastAsia="仿宋_GB2312" w:cs="Times New Roman"/>
          <w:sz w:val="30"/>
          <w:szCs w:val="30"/>
          <w:lang w:val="en-US" w:eastAsia="zh-CN"/>
        </w:rPr>
        <w:t>付款节点、服务验收标准说明。</w:t>
      </w:r>
    </w:p>
    <w:p w14:paraId="7B6FBD4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述标内容必须真实可溯源，</w:t>
      </w:r>
      <w:r>
        <w:rPr>
          <w:rFonts w:hint="eastAsia" w:ascii="Times New Roman" w:hAnsi="Times New Roman" w:eastAsia="仿宋_GB2312" w:cs="Times New Roman"/>
          <w:sz w:val="30"/>
          <w:szCs w:val="30"/>
          <w:lang w:val="en-US" w:eastAsia="zh-CN"/>
        </w:rPr>
        <w:t>业绩可核查，</w:t>
      </w:r>
      <w:r>
        <w:rPr>
          <w:rFonts w:hint="default" w:ascii="Times New Roman" w:hAnsi="Times New Roman" w:eastAsia="仿宋_GB2312" w:cs="Times New Roman"/>
          <w:sz w:val="30"/>
          <w:szCs w:val="30"/>
          <w:lang w:val="en-US" w:eastAsia="zh-CN"/>
        </w:rPr>
        <w:t>严禁虚假陈述。</w:t>
      </w:r>
    </w:p>
    <w:p w14:paraId="735B02DC">
      <w:pPr>
        <w:widowControl/>
        <w:kinsoku w:val="0"/>
        <w:autoSpaceDE w:val="0"/>
        <w:autoSpaceDN w:val="0"/>
        <w:adjustRightInd w:val="0"/>
        <w:snapToGrid w:val="0"/>
        <w:spacing w:before="295" w:line="221" w:lineRule="auto"/>
        <w:ind w:left="2499"/>
        <w:jc w:val="left"/>
        <w:textAlignment w:val="baseline"/>
        <w:rPr>
          <w:rFonts w:hint="default" w:ascii="黑体" w:hAnsi="黑体" w:eastAsia="黑体" w:cs="黑体"/>
          <w:snapToGrid w:val="0"/>
          <w:color w:val="000000"/>
          <w:spacing w:val="11"/>
          <w:kern w:val="0"/>
          <w:sz w:val="32"/>
          <w:szCs w:val="32"/>
          <w:lang w:val="en-US" w:eastAsia="zh-CN"/>
        </w:rPr>
      </w:pPr>
      <w:r>
        <w:rPr>
          <w:rFonts w:hint="default" w:ascii="黑体" w:hAnsi="黑体" w:eastAsia="黑体" w:cs="黑体"/>
          <w:snapToGrid w:val="0"/>
          <w:color w:val="000000"/>
          <w:spacing w:val="11"/>
          <w:kern w:val="0"/>
          <w:sz w:val="32"/>
          <w:szCs w:val="32"/>
          <w:lang w:val="en-US" w:eastAsia="zh-CN"/>
        </w:rPr>
        <w:t>第四章 报价规范与商务条款</w:t>
      </w:r>
    </w:p>
    <w:p w14:paraId="4DB92328">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napToGrid w:val="0"/>
          <w:color w:val="000000"/>
          <w:spacing w:val="11"/>
          <w:kern w:val="0"/>
          <w:sz w:val="32"/>
          <w:szCs w:val="32"/>
          <w:lang w:val="en-US" w:eastAsia="zh-CN"/>
        </w:rPr>
        <w:t>一、报价要求</w:t>
      </w:r>
    </w:p>
    <w:p w14:paraId="57FC047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报价方式：</w:t>
      </w:r>
      <w:r>
        <w:rPr>
          <w:rFonts w:hint="eastAsia" w:ascii="Times New Roman" w:hAnsi="Times New Roman" w:eastAsia="仿宋_GB2312" w:cs="Times New Roman"/>
          <w:sz w:val="30"/>
          <w:szCs w:val="30"/>
          <w:lang w:val="en-US" w:eastAsia="zh-CN"/>
        </w:rPr>
        <w:t>固定</w:t>
      </w:r>
      <w:r>
        <w:rPr>
          <w:rFonts w:hint="default" w:ascii="Times New Roman" w:hAnsi="Times New Roman" w:eastAsia="仿宋_GB2312" w:cs="Times New Roman"/>
          <w:sz w:val="30"/>
          <w:szCs w:val="30"/>
          <w:lang w:val="en-US" w:eastAsia="zh-CN"/>
        </w:rPr>
        <w:t>总价包干；</w:t>
      </w:r>
    </w:p>
    <w:p w14:paraId="01836F6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最高限价：</w:t>
      </w:r>
      <w:r>
        <w:rPr>
          <w:rFonts w:hint="eastAsia" w:ascii="Times New Roman" w:hAnsi="Times New Roman" w:eastAsia="仿宋_GB2312" w:cs="Times New Roman"/>
          <w:sz w:val="30"/>
          <w:szCs w:val="30"/>
          <w:lang w:val="en-US" w:eastAsia="zh-CN"/>
        </w:rPr>
        <w:t>90</w:t>
      </w:r>
      <w:r>
        <w:rPr>
          <w:rFonts w:hint="default" w:ascii="Times New Roman" w:hAnsi="Times New Roman" w:eastAsia="仿宋_GB2312" w:cs="Times New Roman"/>
          <w:sz w:val="30"/>
          <w:szCs w:val="30"/>
          <w:lang w:val="en-US" w:eastAsia="zh-CN"/>
        </w:rPr>
        <w:t>万元（含税）</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响应单位报价高于最高限价的，作无效响应处理；</w:t>
      </w:r>
    </w:p>
    <w:p w14:paraId="6C6D4D8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、包干</w:t>
      </w:r>
      <w:r>
        <w:rPr>
          <w:rFonts w:hint="default" w:ascii="Times New Roman" w:hAnsi="Times New Roman" w:eastAsia="仿宋_GB2312" w:cs="Times New Roman"/>
          <w:sz w:val="30"/>
          <w:szCs w:val="30"/>
          <w:lang w:val="en-US" w:eastAsia="zh-CN"/>
        </w:rPr>
        <w:t>总价包含律师服务费、税费、资料</w:t>
      </w:r>
      <w:r>
        <w:rPr>
          <w:rFonts w:hint="eastAsia" w:ascii="Times New Roman" w:hAnsi="Times New Roman" w:eastAsia="仿宋_GB2312" w:cs="Times New Roman"/>
          <w:sz w:val="30"/>
          <w:szCs w:val="30"/>
          <w:lang w:val="en-US" w:eastAsia="zh-CN"/>
        </w:rPr>
        <w:t>费</w:t>
      </w:r>
      <w:r>
        <w:rPr>
          <w:rFonts w:hint="default" w:ascii="Times New Roman" w:hAnsi="Times New Roman" w:eastAsia="仿宋_GB2312" w:cs="Times New Roman"/>
          <w:sz w:val="30"/>
          <w:szCs w:val="30"/>
          <w:lang w:val="en-US" w:eastAsia="zh-CN"/>
        </w:rPr>
        <w:t>、市内交通费等</w:t>
      </w:r>
      <w:r>
        <w:rPr>
          <w:rFonts w:hint="eastAsia" w:ascii="Times New Roman" w:hAnsi="Times New Roman" w:eastAsia="仿宋_GB2312" w:cs="Times New Roman"/>
          <w:sz w:val="30"/>
          <w:szCs w:val="30"/>
          <w:lang w:val="en-US" w:eastAsia="zh-CN"/>
        </w:rPr>
        <w:t>全部</w:t>
      </w:r>
      <w:r>
        <w:rPr>
          <w:rFonts w:hint="default" w:ascii="Times New Roman" w:hAnsi="Times New Roman" w:eastAsia="仿宋_GB2312" w:cs="Times New Roman"/>
          <w:sz w:val="30"/>
          <w:szCs w:val="30"/>
          <w:lang w:val="en-US" w:eastAsia="zh-CN"/>
        </w:rPr>
        <w:t>费用；差旅费（交通费、住宿费、</w:t>
      </w:r>
      <w:r>
        <w:rPr>
          <w:rFonts w:hint="eastAsia" w:ascii="Times New Roman" w:hAnsi="Times New Roman" w:eastAsia="仿宋_GB2312" w:cs="Times New Roman"/>
          <w:sz w:val="30"/>
          <w:szCs w:val="30"/>
          <w:lang w:val="en-US" w:eastAsia="zh-CN"/>
        </w:rPr>
        <w:t>伙食</w:t>
      </w:r>
      <w:r>
        <w:rPr>
          <w:rFonts w:hint="default" w:ascii="Times New Roman" w:hAnsi="Times New Roman" w:eastAsia="仿宋_GB2312" w:cs="Times New Roman"/>
          <w:sz w:val="30"/>
          <w:szCs w:val="30"/>
          <w:lang w:val="en-US" w:eastAsia="zh-CN"/>
        </w:rPr>
        <w:t>费）</w:t>
      </w:r>
      <w:r>
        <w:rPr>
          <w:rFonts w:hint="eastAsia" w:ascii="Times New Roman" w:hAnsi="Times New Roman" w:eastAsia="仿宋_GB2312" w:cs="Times New Roman"/>
          <w:color w:val="auto"/>
          <w:sz w:val="30"/>
          <w:szCs w:val="30"/>
          <w:lang w:val="en-US" w:eastAsia="zh-CN"/>
        </w:rPr>
        <w:t>参照《万基控股集团有限公司差旅费报销管理办法》执行标准</w:t>
      </w:r>
      <w:r>
        <w:rPr>
          <w:rFonts w:hint="default" w:ascii="Times New Roman" w:hAnsi="Times New Roman" w:eastAsia="仿宋_GB2312" w:cs="Times New Roman"/>
          <w:sz w:val="30"/>
          <w:szCs w:val="30"/>
          <w:lang w:val="en-US" w:eastAsia="zh-CN"/>
        </w:rPr>
        <w:t>实行实报实销</w:t>
      </w:r>
      <w:r>
        <w:rPr>
          <w:rFonts w:hint="eastAsia" w:ascii="Times New Roman" w:hAnsi="Times New Roman" w:eastAsia="仿宋_GB2312" w:cs="Times New Roman"/>
          <w:sz w:val="30"/>
          <w:szCs w:val="30"/>
          <w:lang w:val="en-US" w:eastAsia="zh-CN"/>
        </w:rPr>
        <w:t>（办法附后）</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不计入包干总价</w:t>
      </w:r>
      <w:r>
        <w:rPr>
          <w:rFonts w:hint="default" w:ascii="Times New Roman" w:hAnsi="Times New Roman" w:eastAsia="仿宋_GB2312" w:cs="Times New Roman"/>
          <w:sz w:val="30"/>
          <w:szCs w:val="30"/>
          <w:lang w:val="en-US" w:eastAsia="zh-CN"/>
        </w:rPr>
        <w:t>；</w:t>
      </w:r>
    </w:p>
    <w:p w14:paraId="42C18B1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服务合同履行周期内，包干总价不因市场行情、人工成本波动等因素调整，响应单位报价须自行充分测算风险系数</w:t>
      </w:r>
      <w:r>
        <w:rPr>
          <w:rFonts w:hint="eastAsia" w:ascii="Times New Roman" w:hAnsi="Times New Roman" w:eastAsia="仿宋_GB2312" w:cs="Times New Roman"/>
          <w:sz w:val="30"/>
          <w:szCs w:val="30"/>
          <w:lang w:val="en-US" w:eastAsia="zh-CN"/>
        </w:rPr>
        <w:t>；</w:t>
      </w:r>
    </w:p>
    <w:p w14:paraId="4F8D34D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color w:val="auto"/>
          <w:sz w:val="30"/>
          <w:szCs w:val="30"/>
          <w:lang w:val="en-US" w:eastAsia="zh-CN"/>
        </w:rPr>
        <w:t>须</w:t>
      </w:r>
      <w:r>
        <w:rPr>
          <w:rFonts w:hint="default" w:ascii="Times New Roman" w:hAnsi="Times New Roman" w:eastAsia="仿宋_GB2312" w:cs="Times New Roman"/>
          <w:color w:val="auto"/>
          <w:sz w:val="30"/>
          <w:szCs w:val="30"/>
          <w:lang w:val="en-US" w:eastAsia="zh-CN"/>
        </w:rPr>
        <w:t>提供分阶段报价明细、</w:t>
      </w:r>
      <w:r>
        <w:rPr>
          <w:rFonts w:hint="eastAsia" w:ascii="Times New Roman" w:hAnsi="Times New Roman" w:eastAsia="仿宋_GB2312" w:cs="Times New Roman"/>
          <w:color w:val="auto"/>
          <w:sz w:val="30"/>
          <w:szCs w:val="30"/>
          <w:lang w:val="en-US" w:eastAsia="zh-CN"/>
        </w:rPr>
        <w:t>服务</w:t>
      </w:r>
      <w:r>
        <w:rPr>
          <w:rFonts w:hint="default" w:ascii="Times New Roman" w:hAnsi="Times New Roman" w:eastAsia="仿宋_GB2312" w:cs="Times New Roman"/>
          <w:color w:val="auto"/>
          <w:sz w:val="30"/>
          <w:szCs w:val="30"/>
          <w:lang w:val="en-US" w:eastAsia="zh-CN"/>
        </w:rPr>
        <w:t>验收标准；</w:t>
      </w:r>
    </w:p>
    <w:p w14:paraId="175B1A9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本次询比价为一次性报价，不接受二次报价</w:t>
      </w:r>
      <w:r>
        <w:rPr>
          <w:rFonts w:hint="eastAsia" w:ascii="Times New Roman" w:hAnsi="Times New Roman" w:eastAsia="仿宋_GB2312" w:cs="Times New Roman"/>
          <w:sz w:val="30"/>
          <w:szCs w:val="30"/>
          <w:lang w:val="en-US" w:eastAsia="zh-CN"/>
        </w:rPr>
        <w:t>；</w:t>
      </w:r>
    </w:p>
    <w:p w14:paraId="55705C1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7、项目涉及诉讼、仲裁、强制执行等专项代理服务，费用另行协商约定，不包含在本次包干总价内。</w:t>
      </w:r>
    </w:p>
    <w:p w14:paraId="444491DC">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napToGrid w:val="0"/>
          <w:color w:val="000000"/>
          <w:spacing w:val="11"/>
          <w:kern w:val="0"/>
          <w:sz w:val="32"/>
          <w:szCs w:val="32"/>
          <w:lang w:val="en-US" w:eastAsia="zh-CN"/>
        </w:rPr>
        <w:t>二、商务通用条款</w:t>
      </w:r>
    </w:p>
    <w:p w14:paraId="29F68B3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服务期限：自合同签订之日起至EPC项目竣工验收合格且竣工结算完成之日止</w:t>
      </w:r>
      <w:r>
        <w:rPr>
          <w:rFonts w:hint="eastAsia" w:ascii="Times New Roman" w:hAnsi="Times New Roman" w:eastAsia="仿宋_GB2312" w:cs="Times New Roman"/>
          <w:sz w:val="30"/>
          <w:szCs w:val="30"/>
          <w:lang w:val="en-US" w:eastAsia="zh-CN"/>
        </w:rPr>
        <w:t>（服务期暂定</w:t>
      </w:r>
      <w:r>
        <w:rPr>
          <w:rFonts w:hint="eastAsia" w:ascii="Times New Roman" w:hAnsi="Times New Roman" w:eastAsia="仿宋_GB2312" w:cs="Times New Roman"/>
          <w:color w:val="auto"/>
          <w:sz w:val="30"/>
          <w:szCs w:val="30"/>
          <w:lang w:val="en-US" w:eastAsia="zh-CN"/>
        </w:rPr>
        <w:t>两年</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w:t>
      </w:r>
    </w:p>
    <w:p w14:paraId="0E63CF9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交付成果：</w:t>
      </w:r>
      <w:r>
        <w:rPr>
          <w:rFonts w:hint="eastAsia" w:ascii="Times New Roman" w:hAnsi="Times New Roman" w:eastAsia="仿宋_GB2312" w:cs="Times New Roman"/>
          <w:sz w:val="30"/>
          <w:szCs w:val="30"/>
          <w:lang w:val="en-US" w:eastAsia="zh-CN"/>
        </w:rPr>
        <w:t>包括但不限于法律意见书、风险清单、补充协议修订稿、履约风控台账、法律函件、合规审查报告、风险复盘报告等</w:t>
      </w:r>
      <w:r>
        <w:rPr>
          <w:rFonts w:hint="default" w:ascii="Times New Roman" w:hAnsi="Times New Roman" w:eastAsia="仿宋_GB2312" w:cs="Times New Roman"/>
          <w:sz w:val="30"/>
          <w:szCs w:val="30"/>
          <w:lang w:val="en-US" w:eastAsia="zh-CN"/>
        </w:rPr>
        <w:t>；</w:t>
      </w:r>
    </w:p>
    <w:p w14:paraId="02BEB6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团队要求：核心服务人员未经我方书面同意不得更换；</w:t>
      </w:r>
    </w:p>
    <w:p w14:paraId="6BEABD3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、服务</w:t>
      </w:r>
      <w:r>
        <w:rPr>
          <w:rFonts w:hint="default" w:ascii="Times New Roman" w:hAnsi="Times New Roman" w:eastAsia="仿宋_GB2312" w:cs="Times New Roman"/>
          <w:sz w:val="30"/>
          <w:szCs w:val="30"/>
          <w:lang w:val="en-US" w:eastAsia="zh-CN"/>
        </w:rPr>
        <w:t>响应时效：日常法律咨询及文书审核事项24小时内出具书面答复；突发紧急法律事项4小时内专人对接响应；</w:t>
      </w:r>
    </w:p>
    <w:p w14:paraId="44477D8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保密义务：响应及中选单位对项目全部资料、商业信息、法律文书及服务方案承担永久保密义务，不得外泄</w:t>
      </w:r>
      <w:r>
        <w:rPr>
          <w:rFonts w:hint="eastAsia" w:ascii="Times New Roman" w:hAnsi="Times New Roman" w:eastAsia="仿宋_GB2312" w:cs="Times New Roman"/>
          <w:sz w:val="30"/>
          <w:szCs w:val="30"/>
          <w:lang w:val="en-US" w:eastAsia="zh-CN"/>
        </w:rPr>
        <w:t>；</w:t>
      </w:r>
    </w:p>
    <w:p w14:paraId="5464D1B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6、现场服务：</w:t>
      </w:r>
      <w:r>
        <w:rPr>
          <w:rFonts w:hint="default" w:ascii="Times New Roman" w:hAnsi="Times New Roman" w:eastAsia="仿宋_GB2312" w:cs="Times New Roman"/>
          <w:sz w:val="30"/>
          <w:szCs w:val="30"/>
          <w:lang w:val="en-US" w:eastAsia="zh-CN"/>
        </w:rPr>
        <w:t>不要求</w:t>
      </w:r>
      <w:r>
        <w:rPr>
          <w:rFonts w:hint="eastAsia" w:ascii="Times New Roman" w:hAnsi="Times New Roman" w:eastAsia="仿宋_GB2312" w:cs="Times New Roman"/>
          <w:sz w:val="30"/>
          <w:szCs w:val="30"/>
          <w:lang w:val="en-US" w:eastAsia="zh-CN"/>
        </w:rPr>
        <w:t>律师</w:t>
      </w:r>
      <w:r>
        <w:rPr>
          <w:rFonts w:hint="default" w:ascii="Times New Roman" w:hAnsi="Times New Roman" w:eastAsia="仿宋_GB2312" w:cs="Times New Roman"/>
          <w:sz w:val="30"/>
          <w:szCs w:val="30"/>
          <w:lang w:val="en-US" w:eastAsia="zh-CN"/>
        </w:rPr>
        <w:t>全程驻场，根据项目履约、谈判会商、争议调处需要，律所应及时</w:t>
      </w:r>
      <w:r>
        <w:rPr>
          <w:rFonts w:hint="eastAsia" w:ascii="Times New Roman" w:hAnsi="Times New Roman" w:eastAsia="仿宋_GB2312" w:cs="Times New Roman"/>
          <w:sz w:val="30"/>
          <w:szCs w:val="30"/>
          <w:lang w:val="en-US" w:eastAsia="zh-CN"/>
        </w:rPr>
        <w:t>委派10年以上执业律师</w:t>
      </w:r>
      <w:r>
        <w:rPr>
          <w:rFonts w:hint="default" w:ascii="Times New Roman" w:hAnsi="Times New Roman" w:eastAsia="仿宋_GB2312" w:cs="Times New Roman"/>
          <w:sz w:val="30"/>
          <w:szCs w:val="30"/>
          <w:lang w:val="en-US" w:eastAsia="zh-CN"/>
        </w:rPr>
        <w:t>赴新疆项目所在地</w:t>
      </w:r>
      <w:r>
        <w:rPr>
          <w:rFonts w:hint="eastAsia" w:ascii="Times New Roman" w:hAnsi="Times New Roman" w:eastAsia="仿宋_GB2312" w:cs="Times New Roman"/>
          <w:sz w:val="30"/>
          <w:szCs w:val="30"/>
          <w:lang w:val="en-US" w:eastAsia="zh-CN"/>
        </w:rPr>
        <w:t>及业务关联地点</w:t>
      </w:r>
      <w:r>
        <w:rPr>
          <w:rFonts w:hint="default" w:ascii="Times New Roman" w:hAnsi="Times New Roman" w:eastAsia="仿宋_GB2312" w:cs="Times New Roman"/>
          <w:sz w:val="30"/>
          <w:szCs w:val="30"/>
          <w:lang w:val="en-US" w:eastAsia="zh-CN"/>
        </w:rPr>
        <w:t>出差，提供现场法律与风控支持。</w:t>
      </w:r>
    </w:p>
    <w:p w14:paraId="35B77674">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b/>
          <w:bCs/>
          <w:color w:val="auto"/>
          <w:sz w:val="30"/>
          <w:szCs w:val="30"/>
          <w:highlight w:val="none"/>
          <w:lang w:val="en-US" w:eastAsia="zh-CN"/>
        </w:rPr>
      </w:pPr>
      <w:r>
        <w:rPr>
          <w:rFonts w:hint="default" w:ascii="Times New Roman" w:hAnsi="Times New Roman" w:eastAsia="仿宋_GB2312" w:cs="Times New Roman"/>
          <w:b/>
          <w:bCs/>
          <w:color w:val="auto"/>
          <w:sz w:val="30"/>
          <w:szCs w:val="30"/>
          <w:highlight w:val="none"/>
          <w:lang w:val="en-US" w:eastAsia="zh-CN"/>
        </w:rPr>
        <w:t>三、付款方式及付款节点</w:t>
      </w:r>
    </w:p>
    <w:p w14:paraId="2EA3EA1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本项目合同价款采用固定包干总价模式，实行分阶段节点付款，</w:t>
      </w:r>
      <w:r>
        <w:rPr>
          <w:rFonts w:hint="eastAsia" w:ascii="Times New Roman" w:hAnsi="Times New Roman" w:eastAsia="仿宋_GB2312" w:cs="Times New Roman"/>
          <w:sz w:val="30"/>
          <w:szCs w:val="30"/>
          <w:highlight w:val="none"/>
          <w:lang w:val="en-US" w:eastAsia="zh-CN"/>
        </w:rPr>
        <w:t>我方</w:t>
      </w:r>
      <w:r>
        <w:rPr>
          <w:rFonts w:hint="default" w:ascii="Times New Roman" w:hAnsi="Times New Roman" w:eastAsia="仿宋_GB2312" w:cs="Times New Roman"/>
          <w:sz w:val="30"/>
          <w:szCs w:val="30"/>
          <w:highlight w:val="none"/>
          <w:lang w:val="en-US" w:eastAsia="zh-CN"/>
        </w:rPr>
        <w:t>结合</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服务履约进度、成果交付质量及验收情况，按以下</w:t>
      </w:r>
      <w:r>
        <w:rPr>
          <w:rFonts w:hint="eastAsia" w:ascii="Times New Roman" w:hAnsi="Times New Roman" w:eastAsia="仿宋_GB2312" w:cs="Times New Roman"/>
          <w:sz w:val="30"/>
          <w:szCs w:val="30"/>
          <w:highlight w:val="none"/>
          <w:lang w:val="en-US" w:eastAsia="zh-CN"/>
        </w:rPr>
        <w:t>四期</w:t>
      </w:r>
      <w:r>
        <w:rPr>
          <w:rFonts w:hint="default" w:ascii="Times New Roman" w:hAnsi="Times New Roman" w:eastAsia="仿宋_GB2312" w:cs="Times New Roman"/>
          <w:sz w:val="30"/>
          <w:szCs w:val="30"/>
          <w:highlight w:val="none"/>
          <w:lang w:val="en-US" w:eastAsia="zh-CN"/>
        </w:rPr>
        <w:t>节点支付合同款项，各期付款均以</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完成对应阶段全部服务义务、交付合格成果并通过</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方验收为前提：</w:t>
      </w:r>
    </w:p>
    <w:p w14:paraId="06C63ED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lang w:val="en-US" w:eastAsia="zh-CN"/>
        </w:rPr>
        <w:t>第一期 预付款（合同包干总价的30%）</w:t>
      </w:r>
    </w:p>
    <w:p w14:paraId="2F1B61A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合同签订生效</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专项服务团队全部到位并向</w:t>
      </w:r>
      <w:r>
        <w:rPr>
          <w:rFonts w:hint="eastAsia" w:ascii="Times New Roman" w:hAnsi="Times New Roman" w:eastAsia="仿宋_GB2312" w:cs="Times New Roman"/>
          <w:sz w:val="30"/>
          <w:szCs w:val="30"/>
          <w:highlight w:val="none"/>
          <w:lang w:val="en-US" w:eastAsia="zh-CN"/>
        </w:rPr>
        <w:t>我方</w:t>
      </w:r>
      <w:r>
        <w:rPr>
          <w:rFonts w:hint="default" w:ascii="Times New Roman" w:hAnsi="Times New Roman" w:eastAsia="仿宋_GB2312" w:cs="Times New Roman"/>
          <w:sz w:val="30"/>
          <w:szCs w:val="30"/>
          <w:highlight w:val="none"/>
          <w:lang w:val="en-US" w:eastAsia="zh-CN"/>
        </w:rPr>
        <w:t>提交首期专项服务方案、项目风控台账及全周期服务计划后15个工作日内，</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方向</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支付合同包干总价的30%作为预付款。</w:t>
      </w:r>
    </w:p>
    <w:p w14:paraId="7F2FE08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 第二期 项目启动进度款（合同包干总价的30%）</w:t>
      </w:r>
    </w:p>
    <w:p w14:paraId="43614E1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EPC总承包项目完成启动节点目标（电解车间一、二工段全部达到通电焙烧条件），且律师事务所已完成本项目启动至该节点对应的全流程履约法律服务（包括但不限于项目前期合同与补充协议合规审核、启动阶段履约风险前置管控、相关商务与法律事项专项支持、农民工工资支付合规保障法律服务），并向我方提交该节点完整的服务成果台账、节点履约风控专项报告，经我方验收合格后15个工作日内，我方向律师事务所支付合同包干总价的30%作为项目启动进度款。</w:t>
      </w:r>
    </w:p>
    <w:p w14:paraId="41DEED1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 第三期 项目竣工进度款（合同包干总价的20%）</w:t>
      </w:r>
    </w:p>
    <w:p w14:paraId="5A05E3F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EPC总承包项目完成整体竣工验收，且律师事务所已全面完成本合同约定全周期剩余履约法律服务（包括但不限于项目实施过程补充协议合规审核、变更签证全流程合规管控、索赔与反索赔专项法律支持、农民工工资纠纷常态化法律服务、项目全周期履约风险闭环管控），并向我方提交完整的全周期服务成果台账、项目整体履约风控总结报告，经我方验收合格后15个工作日内，我方向律师事务所支付合同包干总价的20%作为项目竣工进度款。</w:t>
      </w:r>
    </w:p>
    <w:p w14:paraId="27AB4D9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en-US" w:eastAsia="zh-CN"/>
        </w:rPr>
        <w:t>第</w:t>
      </w:r>
      <w:r>
        <w:rPr>
          <w:rFonts w:hint="eastAsia" w:ascii="Times New Roman" w:hAnsi="Times New Roman" w:eastAsia="仿宋_GB2312" w:cs="Times New Roman"/>
          <w:sz w:val="30"/>
          <w:szCs w:val="30"/>
          <w:highlight w:val="none"/>
          <w:lang w:val="en-US" w:eastAsia="zh-CN"/>
        </w:rPr>
        <w:t>四</w:t>
      </w:r>
      <w:r>
        <w:rPr>
          <w:rFonts w:hint="default" w:ascii="Times New Roman" w:hAnsi="Times New Roman" w:eastAsia="仿宋_GB2312" w:cs="Times New Roman"/>
          <w:sz w:val="30"/>
          <w:szCs w:val="30"/>
          <w:highlight w:val="none"/>
          <w:lang w:val="en-US" w:eastAsia="zh-CN"/>
        </w:rPr>
        <w:t>期 竣工结算尾款（合同包干总价的</w:t>
      </w:r>
      <w:r>
        <w:rPr>
          <w:rFonts w:hint="eastAsia"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en-US" w:eastAsia="zh-CN"/>
        </w:rPr>
        <w:t>0%）</w:t>
      </w:r>
    </w:p>
    <w:p w14:paraId="039D66B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EPC总承包项目竣工结算全部办结、</w:t>
      </w:r>
      <w:r>
        <w:rPr>
          <w:rFonts w:hint="eastAsia" w:ascii="Times New Roman" w:hAnsi="Times New Roman" w:eastAsia="仿宋_GB2312" w:cs="Times New Roman"/>
          <w:sz w:val="30"/>
          <w:szCs w:val="30"/>
          <w:highlight w:val="none"/>
          <w:lang w:val="en-US" w:eastAsia="zh-CN"/>
        </w:rPr>
        <w:t>律师事务所已</w:t>
      </w:r>
      <w:r>
        <w:rPr>
          <w:rFonts w:hint="default" w:ascii="Times New Roman" w:hAnsi="Times New Roman" w:eastAsia="仿宋_GB2312" w:cs="Times New Roman"/>
          <w:sz w:val="30"/>
          <w:szCs w:val="30"/>
          <w:highlight w:val="none"/>
          <w:lang w:val="en-US" w:eastAsia="zh-CN"/>
        </w:rPr>
        <w:t>完成本合同项下全部法律服务义务，完成竣工结算文件合规审查、全项目合同资料归档整理、全周期履约风险复盘，并向</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方提交完整服务成果汇编、最终项目风险复盘报告，经</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方最终验收合格后30个工作日内，</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方向</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支付合同包干总价剩余的</w:t>
      </w:r>
      <w:r>
        <w:rPr>
          <w:rFonts w:hint="eastAsia"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lang w:val="en-US" w:eastAsia="zh-CN"/>
        </w:rPr>
        <w:t>%尾款，款项支付完毕后本合同项下价款全部结清。</w:t>
      </w:r>
    </w:p>
    <w:p w14:paraId="3BD1339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 xml:space="preserve">5. </w:t>
      </w:r>
      <w:r>
        <w:rPr>
          <w:rFonts w:hint="default" w:ascii="Times New Roman" w:hAnsi="Times New Roman" w:eastAsia="仿宋_GB2312" w:cs="Times New Roman"/>
          <w:sz w:val="30"/>
          <w:szCs w:val="30"/>
          <w:highlight w:val="none"/>
          <w:lang w:val="en-US" w:eastAsia="zh-CN"/>
        </w:rPr>
        <w:t>其他约定</w:t>
      </w:r>
    </w:p>
    <w:p w14:paraId="6730435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（1）每期付款前，</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须按</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方财务要求提供合规、等额的增值税专用发票，否则</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方有权顺延付款，且不承担任何逾期付款违约责任；</w:t>
      </w:r>
    </w:p>
    <w:p w14:paraId="0D9BE6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服务过程中产生的</w:t>
      </w:r>
      <w:r>
        <w:rPr>
          <w:rFonts w:hint="default" w:ascii="Times New Roman" w:hAnsi="Times New Roman" w:eastAsia="仿宋_GB2312" w:cs="Times New Roman"/>
          <w:color w:val="auto"/>
          <w:sz w:val="30"/>
          <w:szCs w:val="30"/>
          <w:highlight w:val="none"/>
          <w:lang w:val="en-US" w:eastAsia="zh-CN"/>
        </w:rPr>
        <w:t>异地差旅费，</w:t>
      </w:r>
      <w:r>
        <w:rPr>
          <w:rFonts w:hint="eastAsia" w:ascii="Times New Roman" w:hAnsi="Times New Roman" w:eastAsia="仿宋_GB2312" w:cs="Times New Roman"/>
          <w:color w:val="auto"/>
          <w:sz w:val="30"/>
          <w:szCs w:val="30"/>
          <w:lang w:val="en-US" w:eastAsia="zh-CN"/>
        </w:rPr>
        <w:t>参照《万基控股集团有限公司差旅费报销管理办法》执行标准，</w:t>
      </w:r>
      <w:r>
        <w:rPr>
          <w:rFonts w:hint="default" w:ascii="Times New Roman" w:hAnsi="Times New Roman" w:eastAsia="仿宋_GB2312" w:cs="Times New Roman"/>
          <w:color w:val="auto"/>
          <w:sz w:val="30"/>
          <w:szCs w:val="30"/>
          <w:highlight w:val="none"/>
          <w:lang w:val="en-US" w:eastAsia="zh-CN"/>
        </w:rPr>
        <w:t>按月凭合规有效票据经</w:t>
      </w:r>
      <w:r>
        <w:rPr>
          <w:rFonts w:hint="eastAsia" w:ascii="Times New Roman" w:hAnsi="Times New Roman" w:eastAsia="仿宋_GB2312" w:cs="Times New Roman"/>
          <w:color w:val="auto"/>
          <w:sz w:val="30"/>
          <w:szCs w:val="30"/>
          <w:highlight w:val="none"/>
          <w:lang w:val="en-US" w:eastAsia="zh-CN"/>
        </w:rPr>
        <w:t>我</w:t>
      </w:r>
      <w:r>
        <w:rPr>
          <w:rFonts w:hint="default" w:ascii="Times New Roman" w:hAnsi="Times New Roman" w:eastAsia="仿宋_GB2312" w:cs="Times New Roman"/>
          <w:color w:val="auto"/>
          <w:sz w:val="30"/>
          <w:szCs w:val="30"/>
          <w:highlight w:val="none"/>
          <w:lang w:val="en-US" w:eastAsia="zh-CN"/>
        </w:rPr>
        <w:t>方</w:t>
      </w:r>
      <w:r>
        <w:rPr>
          <w:rFonts w:hint="eastAsia" w:ascii="Times New Roman" w:hAnsi="Times New Roman" w:eastAsia="仿宋_GB2312" w:cs="Times New Roman"/>
          <w:color w:val="auto"/>
          <w:sz w:val="30"/>
          <w:szCs w:val="30"/>
          <w:highlight w:val="none"/>
          <w:lang w:val="en-US" w:eastAsia="zh-CN"/>
        </w:rPr>
        <w:t>财务</w:t>
      </w:r>
      <w:r>
        <w:rPr>
          <w:rFonts w:hint="default" w:ascii="Times New Roman" w:hAnsi="Times New Roman" w:eastAsia="仿宋_GB2312" w:cs="Times New Roman"/>
          <w:color w:val="auto"/>
          <w:sz w:val="30"/>
          <w:szCs w:val="30"/>
          <w:highlight w:val="none"/>
          <w:lang w:val="en-US" w:eastAsia="zh-CN"/>
        </w:rPr>
        <w:t>审核后实报实销，</w:t>
      </w:r>
      <w:r>
        <w:rPr>
          <w:rFonts w:hint="default" w:ascii="Times New Roman" w:hAnsi="Times New Roman" w:eastAsia="仿宋_GB2312" w:cs="Times New Roman"/>
          <w:sz w:val="30"/>
          <w:szCs w:val="30"/>
          <w:highlight w:val="none"/>
          <w:lang w:val="en-US" w:eastAsia="zh-CN"/>
        </w:rPr>
        <w:t>该费用不占用本合同约定的节点付款额度，由</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方另行支付；</w:t>
      </w:r>
    </w:p>
    <w:p w14:paraId="7FE4135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（3）本合同服务范围外的诉讼、仲裁、保全、执行等专项代理服务，由双方另行单独协商定价、签订专项协议并单独结算；</w:t>
      </w:r>
    </w:p>
    <w:p w14:paraId="35125F6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仿宋_GB2312" w:cs="Times New Roman"/>
          <w:sz w:val="30"/>
          <w:szCs w:val="30"/>
          <w:highlight w:val="none"/>
          <w:lang w:val="en-US" w:eastAsia="zh-CN"/>
        </w:rPr>
        <w:t>（4）若</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出现服务质量不达标、服务人员擅自更换、服务响应严重滞后等违约情形，</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方有权暂缓支付对应节点款项、按合同约定扣减服务费，直至</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整改合格并通过</w:t>
      </w:r>
      <w:r>
        <w:rPr>
          <w:rFonts w:hint="eastAsia" w:ascii="Times New Roman" w:hAnsi="Times New Roman" w:eastAsia="仿宋_GB2312" w:cs="Times New Roman"/>
          <w:sz w:val="30"/>
          <w:szCs w:val="30"/>
          <w:highlight w:val="none"/>
          <w:lang w:val="en-US" w:eastAsia="zh-CN"/>
        </w:rPr>
        <w:t>我</w:t>
      </w:r>
      <w:r>
        <w:rPr>
          <w:rFonts w:hint="default" w:ascii="Times New Roman" w:hAnsi="Times New Roman" w:eastAsia="仿宋_GB2312" w:cs="Times New Roman"/>
          <w:sz w:val="30"/>
          <w:szCs w:val="30"/>
          <w:highlight w:val="none"/>
          <w:lang w:val="en-US" w:eastAsia="zh-CN"/>
        </w:rPr>
        <w:t>方验收，因此产生的全部损失由</w:t>
      </w:r>
      <w:r>
        <w:rPr>
          <w:rFonts w:hint="eastAsia" w:ascii="Times New Roman" w:hAnsi="Times New Roman" w:eastAsia="仿宋_GB2312" w:cs="Times New Roman"/>
          <w:sz w:val="30"/>
          <w:szCs w:val="30"/>
          <w:highlight w:val="none"/>
          <w:lang w:val="en-US" w:eastAsia="zh-CN"/>
        </w:rPr>
        <w:t>律师事务所</w:t>
      </w:r>
      <w:r>
        <w:rPr>
          <w:rFonts w:hint="default" w:ascii="Times New Roman" w:hAnsi="Times New Roman" w:eastAsia="仿宋_GB2312" w:cs="Times New Roman"/>
          <w:sz w:val="30"/>
          <w:szCs w:val="30"/>
          <w:highlight w:val="none"/>
          <w:lang w:val="en-US" w:eastAsia="zh-CN"/>
        </w:rPr>
        <w:t>承担。</w:t>
      </w:r>
    </w:p>
    <w:p w14:paraId="474E18AC">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jc w:val="center"/>
        <w:textAlignment w:val="auto"/>
        <w:outlineLvl w:val="1"/>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第五章 </w:t>
      </w:r>
      <w:bookmarkEnd w:id="2"/>
      <w:r>
        <w:rPr>
          <w:rFonts w:hint="default" w:ascii="Times New Roman" w:hAnsi="Times New Roman" w:eastAsia="黑体" w:cs="Times New Roman"/>
          <w:b w:val="0"/>
          <w:bCs/>
          <w:sz w:val="32"/>
          <w:szCs w:val="32"/>
          <w:lang w:val="en-US" w:eastAsia="zh-CN"/>
        </w:rPr>
        <w:t>评审标准与比价规则</w:t>
      </w:r>
    </w:p>
    <w:p w14:paraId="6407C9B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bookmarkStart w:id="3" w:name="heading_16"/>
      <w:r>
        <w:rPr>
          <w:rFonts w:hint="default" w:ascii="Times New Roman" w:hAnsi="Times New Roman" w:eastAsia="仿宋_GB2312" w:cs="Times New Roman"/>
          <w:sz w:val="30"/>
          <w:szCs w:val="30"/>
          <w:lang w:val="en-US" w:eastAsia="zh-CN"/>
        </w:rPr>
        <w:t>本项目采用综合评分法，总分100分。采购人成立询比价评审小组，遵循公开、公平</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公正、</w:t>
      </w:r>
      <w:r>
        <w:rPr>
          <w:rFonts w:hint="eastAsia" w:ascii="Times New Roman" w:hAnsi="Times New Roman" w:eastAsia="仿宋_GB2312" w:cs="Times New Roman"/>
          <w:sz w:val="30"/>
          <w:szCs w:val="30"/>
          <w:lang w:val="en-US" w:eastAsia="zh-CN"/>
        </w:rPr>
        <w:t>择优</w:t>
      </w:r>
      <w:r>
        <w:rPr>
          <w:rFonts w:hint="default" w:ascii="Times New Roman" w:hAnsi="Times New Roman" w:eastAsia="仿宋_GB2312" w:cs="Times New Roman"/>
          <w:sz w:val="30"/>
          <w:szCs w:val="30"/>
          <w:lang w:val="en-US" w:eastAsia="zh-CN"/>
        </w:rPr>
        <w:t>原则，对响应单位</w:t>
      </w:r>
      <w:r>
        <w:rPr>
          <w:rFonts w:hint="eastAsia" w:ascii="Times New Roman" w:hAnsi="Times New Roman" w:eastAsia="仿宋_GB2312" w:cs="Times New Roman"/>
          <w:sz w:val="30"/>
          <w:szCs w:val="30"/>
          <w:lang w:val="en-US" w:eastAsia="zh-CN"/>
        </w:rPr>
        <w:t>的</w:t>
      </w:r>
      <w:r>
        <w:rPr>
          <w:rFonts w:hint="default" w:ascii="Times New Roman" w:hAnsi="Times New Roman" w:eastAsia="仿宋_GB2312" w:cs="Times New Roman"/>
          <w:sz w:val="30"/>
          <w:szCs w:val="30"/>
          <w:lang w:val="en-US" w:eastAsia="zh-CN"/>
        </w:rPr>
        <w:t>综合</w:t>
      </w:r>
      <w:r>
        <w:rPr>
          <w:rFonts w:hint="eastAsia" w:ascii="Times New Roman" w:hAnsi="Times New Roman" w:eastAsia="仿宋_GB2312" w:cs="Times New Roman"/>
          <w:sz w:val="30"/>
          <w:szCs w:val="30"/>
          <w:lang w:val="en-US" w:eastAsia="zh-CN"/>
        </w:rPr>
        <w:t>实力进行评审打分</w:t>
      </w:r>
      <w:r>
        <w:rPr>
          <w:rFonts w:hint="default" w:ascii="Times New Roman" w:hAnsi="Times New Roman" w:eastAsia="仿宋_GB2312" w:cs="Times New Roman"/>
          <w:sz w:val="30"/>
          <w:szCs w:val="30"/>
          <w:lang w:val="en-US" w:eastAsia="zh-CN"/>
        </w:rPr>
        <w:t>，得分最高者推荐为拟中选单位。评分维度详见附件2</w:t>
      </w:r>
    </w:p>
    <w:p w14:paraId="4BCF0F48">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jc w:val="center"/>
        <w:textAlignment w:val="auto"/>
        <w:outlineLvl w:val="1"/>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第六章 附则</w:t>
      </w:r>
      <w:bookmarkEnd w:id="3"/>
    </w:p>
    <w:p w14:paraId="30C82DE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本次询比价所有响应文件、述标内容、</w:t>
      </w:r>
      <w:r>
        <w:rPr>
          <w:rFonts w:hint="eastAsia" w:ascii="Times New Roman" w:hAnsi="Times New Roman" w:eastAsia="仿宋_GB2312" w:cs="Times New Roman"/>
          <w:sz w:val="30"/>
          <w:szCs w:val="30"/>
          <w:lang w:val="en-US" w:eastAsia="zh-CN"/>
        </w:rPr>
        <w:t>各类</w:t>
      </w:r>
      <w:r>
        <w:rPr>
          <w:rFonts w:hint="default" w:ascii="Times New Roman" w:hAnsi="Times New Roman" w:eastAsia="仿宋_GB2312" w:cs="Times New Roman"/>
          <w:sz w:val="30"/>
          <w:szCs w:val="30"/>
          <w:lang w:val="en-US" w:eastAsia="zh-CN"/>
        </w:rPr>
        <w:t>承诺函均作为后续合同组成部分，具备同等法律效力；</w:t>
      </w:r>
    </w:p>
    <w:p w14:paraId="0A6277C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响应单位应对询比价过程中知悉的商业秘密承担保密义务；</w:t>
      </w:r>
    </w:p>
    <w:p w14:paraId="122003B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、我公司</w:t>
      </w:r>
      <w:r>
        <w:rPr>
          <w:rFonts w:hint="default" w:ascii="Times New Roman" w:hAnsi="Times New Roman" w:eastAsia="仿宋_GB2312" w:cs="Times New Roman"/>
          <w:sz w:val="30"/>
          <w:szCs w:val="30"/>
          <w:lang w:val="en-US" w:eastAsia="zh-CN"/>
        </w:rPr>
        <w:t>有权根据评审结果择优确定</w:t>
      </w:r>
      <w:r>
        <w:rPr>
          <w:rFonts w:hint="eastAsia" w:ascii="Times New Roman" w:hAnsi="Times New Roman" w:eastAsia="仿宋_GB2312" w:cs="Times New Roman"/>
          <w:sz w:val="30"/>
          <w:szCs w:val="30"/>
          <w:lang w:val="en-US" w:eastAsia="zh-CN"/>
        </w:rPr>
        <w:t>中选</w:t>
      </w:r>
      <w:r>
        <w:rPr>
          <w:rFonts w:hint="default" w:ascii="Times New Roman" w:hAnsi="Times New Roman" w:eastAsia="仿宋_GB2312" w:cs="Times New Roman"/>
          <w:sz w:val="30"/>
          <w:szCs w:val="30"/>
          <w:lang w:val="en-US" w:eastAsia="zh-CN"/>
        </w:rPr>
        <w:t>单位，并保留本次询比价最终解释权；</w:t>
      </w:r>
    </w:p>
    <w:p w14:paraId="40EE251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响应文件递交截止时间：北京时间2026年</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en-US" w:eastAsia="zh-CN"/>
        </w:rPr>
        <w:t>日10:</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0；</w:t>
      </w:r>
    </w:p>
    <w:p w14:paraId="740890C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报价开启时间：同上。</w:t>
      </w:r>
    </w:p>
    <w:p w14:paraId="7813522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、文件</w:t>
      </w:r>
      <w:r>
        <w:rPr>
          <w:rFonts w:hint="default" w:ascii="Times New Roman" w:hAnsi="Times New Roman" w:eastAsia="仿宋_GB2312" w:cs="Times New Roman"/>
          <w:sz w:val="30"/>
          <w:szCs w:val="30"/>
          <w:lang w:val="en-US" w:eastAsia="zh-CN"/>
        </w:rPr>
        <w:t>递交</w:t>
      </w:r>
      <w:r>
        <w:rPr>
          <w:rFonts w:hint="eastAsia" w:ascii="Times New Roman" w:hAnsi="Times New Roman" w:eastAsia="仿宋_GB2312" w:cs="Times New Roman"/>
          <w:sz w:val="30"/>
          <w:szCs w:val="30"/>
          <w:lang w:val="en-US" w:eastAsia="zh-CN"/>
        </w:rPr>
        <w:t>方式及地址：</w:t>
      </w:r>
    </w:p>
    <w:p w14:paraId="02856AD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递交方式：快递（考虑地域距离建议优先选择顺丰快递）</w:t>
      </w:r>
      <w:bookmarkStart w:id="9" w:name="_GoBack"/>
      <w:bookmarkEnd w:id="9"/>
    </w:p>
    <w:p w14:paraId="0F39048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递交地址：新疆维吾尔自治区哈密市伊州区大泉湾乡红星四场骆驿镇六连生活区附近万基铝业（新疆）有限公司 </w:t>
      </w:r>
    </w:p>
    <w:p w14:paraId="7C11C15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收件</w:t>
      </w:r>
      <w:r>
        <w:rPr>
          <w:rFonts w:hint="default" w:ascii="Times New Roman" w:hAnsi="Times New Roman" w:eastAsia="仿宋_GB2312" w:cs="Times New Roman"/>
          <w:sz w:val="30"/>
          <w:szCs w:val="30"/>
          <w:lang w:val="en-US" w:eastAsia="zh-CN"/>
        </w:rPr>
        <w:t>人：</w:t>
      </w:r>
      <w:r>
        <w:rPr>
          <w:rFonts w:hint="eastAsia" w:ascii="Times New Roman" w:hAnsi="Times New Roman" w:eastAsia="仿宋_GB2312" w:cs="Times New Roman"/>
          <w:sz w:val="30"/>
          <w:szCs w:val="30"/>
          <w:lang w:val="en-US" w:eastAsia="zh-CN"/>
        </w:rPr>
        <w:t>李珂</w:t>
      </w:r>
      <w:r>
        <w:rPr>
          <w:rFonts w:hint="default" w:ascii="Times New Roman" w:hAnsi="Times New Roman" w:eastAsia="仿宋_GB2312" w:cs="Times New Roman"/>
          <w:sz w:val="30"/>
          <w:szCs w:val="30"/>
          <w:lang w:val="en-US" w:eastAsia="zh-CN"/>
        </w:rPr>
        <w:t>，联系电话：</w:t>
      </w:r>
      <w:r>
        <w:rPr>
          <w:rFonts w:hint="eastAsia" w:ascii="Times New Roman" w:hAnsi="Times New Roman" w:eastAsia="仿宋_GB2312" w:cs="Times New Roman"/>
          <w:sz w:val="30"/>
          <w:szCs w:val="30"/>
          <w:lang w:val="en-US" w:eastAsia="zh-CN"/>
        </w:rPr>
        <w:t>15138749666</w:t>
      </w:r>
      <w:r>
        <w:rPr>
          <w:rFonts w:hint="default" w:ascii="Times New Roman" w:hAnsi="Times New Roman" w:eastAsia="仿宋_GB2312" w:cs="Times New Roman"/>
          <w:sz w:val="30"/>
          <w:szCs w:val="30"/>
          <w:lang w:val="en-US" w:eastAsia="zh-CN"/>
        </w:rPr>
        <w:t>。</w:t>
      </w:r>
    </w:p>
    <w:p w14:paraId="13F95B6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述标</w:t>
      </w:r>
      <w:r>
        <w:rPr>
          <w:rFonts w:hint="default" w:ascii="Times New Roman" w:hAnsi="Times New Roman" w:eastAsia="仿宋_GB2312" w:cs="Times New Roman"/>
          <w:sz w:val="30"/>
          <w:szCs w:val="30"/>
          <w:lang w:val="en-US" w:eastAsia="zh-CN"/>
        </w:rPr>
        <w:t>地址：</w:t>
      </w:r>
      <w:r>
        <w:rPr>
          <w:rFonts w:hint="eastAsia" w:ascii="Times New Roman" w:hAnsi="Times New Roman" w:eastAsia="仿宋_GB2312" w:cs="Times New Roman"/>
          <w:sz w:val="30"/>
          <w:szCs w:val="30"/>
          <w:lang w:val="en-US" w:eastAsia="zh-CN"/>
        </w:rPr>
        <w:t>万基铝业（新疆）有限公司项目部（</w:t>
      </w:r>
      <w:r>
        <w:rPr>
          <w:rFonts w:hint="default" w:ascii="Times New Roman" w:hAnsi="Times New Roman" w:eastAsia="仿宋_GB2312" w:cs="Times New Roman"/>
          <w:sz w:val="30"/>
          <w:szCs w:val="30"/>
          <w:lang w:val="en-US" w:eastAsia="zh-CN"/>
        </w:rPr>
        <w:t>新疆</w:t>
      </w:r>
      <w:r>
        <w:rPr>
          <w:rFonts w:hint="eastAsia" w:ascii="Times New Roman" w:hAnsi="Times New Roman" w:eastAsia="仿宋_GB2312" w:cs="Times New Roman"/>
          <w:sz w:val="30"/>
          <w:szCs w:val="30"/>
          <w:lang w:val="en-US" w:eastAsia="zh-CN"/>
        </w:rPr>
        <w:t>第十三师</w:t>
      </w:r>
      <w:r>
        <w:rPr>
          <w:rFonts w:hint="default" w:ascii="Times New Roman" w:hAnsi="Times New Roman" w:eastAsia="仿宋_GB2312" w:cs="Times New Roman"/>
          <w:sz w:val="30"/>
          <w:szCs w:val="30"/>
          <w:lang w:val="en-US" w:eastAsia="zh-CN"/>
        </w:rPr>
        <w:t>新星市</w:t>
      </w:r>
      <w:r>
        <w:rPr>
          <w:rFonts w:hint="eastAsia" w:ascii="Times New Roman" w:hAnsi="Times New Roman" w:eastAsia="仿宋_GB2312" w:cs="Times New Roman"/>
          <w:sz w:val="30"/>
          <w:szCs w:val="30"/>
          <w:lang w:val="en-US" w:eastAsia="zh-CN"/>
        </w:rPr>
        <w:t>新星经济技术开发区骆驼圈子产业园兴盛路1号）</w:t>
      </w:r>
      <w:r>
        <w:rPr>
          <w:rFonts w:hint="default" w:ascii="Times New Roman" w:hAnsi="Times New Roman" w:eastAsia="仿宋_GB2312" w:cs="Times New Roman"/>
          <w:sz w:val="30"/>
          <w:szCs w:val="30"/>
          <w:lang w:val="en-US" w:eastAsia="zh-CN"/>
        </w:rPr>
        <w:t>；</w:t>
      </w:r>
    </w:p>
    <w:p w14:paraId="3DE403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述标时间：暂定</w:t>
      </w:r>
      <w:r>
        <w:rPr>
          <w:rFonts w:hint="default" w:ascii="Times New Roman" w:hAnsi="Times New Roman" w:eastAsia="仿宋_GB2312" w:cs="Times New Roman"/>
          <w:sz w:val="30"/>
          <w:szCs w:val="30"/>
          <w:lang w:val="en-US" w:eastAsia="zh-CN"/>
        </w:rPr>
        <w:t>北京时间2026年</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en-US" w:eastAsia="zh-CN"/>
        </w:rPr>
        <w:t>日10:</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0</w:t>
      </w:r>
      <w:r>
        <w:rPr>
          <w:rFonts w:hint="eastAsia" w:ascii="Times New Roman" w:hAnsi="Times New Roman" w:eastAsia="仿宋_GB2312" w:cs="Times New Roman"/>
          <w:sz w:val="30"/>
          <w:szCs w:val="30"/>
          <w:lang w:val="en-US" w:eastAsia="zh-CN"/>
        </w:rPr>
        <w:t>，具体时间以我公司报价开启当天通知为准</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 xml:space="preserve"> </w:t>
      </w:r>
    </w:p>
    <w:p w14:paraId="63B53A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述标方式：腾讯视频会议。</w:t>
      </w:r>
    </w:p>
    <w:p w14:paraId="43343FD1">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14:paraId="6D4938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0"/>
          <w:szCs w:val="30"/>
          <w:lang w:val="en-US" w:eastAsia="zh-CN"/>
        </w:rPr>
        <w:t>万基</w:t>
      </w:r>
      <w:r>
        <w:rPr>
          <w:rFonts w:hint="eastAsia" w:ascii="Times New Roman" w:hAnsi="Times New Roman" w:eastAsia="仿宋_GB2312" w:cs="Times New Roman"/>
          <w:sz w:val="30"/>
          <w:szCs w:val="30"/>
          <w:lang w:val="en-US" w:eastAsia="zh-CN"/>
        </w:rPr>
        <w:t>铝业</w:t>
      </w:r>
      <w:r>
        <w:rPr>
          <w:rFonts w:hint="default" w:ascii="Times New Roman" w:hAnsi="Times New Roman" w:eastAsia="仿宋_GB2312" w:cs="Times New Roman"/>
          <w:sz w:val="30"/>
          <w:szCs w:val="30"/>
          <w:lang w:val="en-US" w:eastAsia="zh-CN"/>
        </w:rPr>
        <w:t>（新疆）有限公司</w:t>
      </w:r>
    </w:p>
    <w:p w14:paraId="0B9BB14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2026年</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日</w:t>
      </w:r>
    </w:p>
    <w:p w14:paraId="4023DAED">
      <w:pPr>
        <w:rPr>
          <w:rFonts w:hint="default"/>
          <w:lang w:val="en-US" w:eastAsia="zh-CN"/>
        </w:rPr>
      </w:pPr>
      <w:r>
        <w:rPr>
          <w:rFonts w:hint="default"/>
          <w:lang w:val="en-US" w:eastAsia="zh-CN"/>
        </w:rPr>
        <w:br w:type="page"/>
      </w:r>
    </w:p>
    <w:p w14:paraId="1B2D85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D9D1531">
      <w:pPr>
        <w:pStyle w:val="3"/>
        <w:pageBreakBefore w:val="0"/>
        <w:widowControl w:val="0"/>
        <w:kinsoku/>
        <w:wordWrap/>
        <w:overflowPunct/>
        <w:topLinePunct w:val="0"/>
        <w:autoSpaceDE/>
        <w:autoSpaceDN/>
        <w:bidi w:val="0"/>
        <w:adjustRightInd/>
        <w:snapToGrid w:val="0"/>
        <w:spacing w:line="240" w:lineRule="exact"/>
        <w:ind w:firstLine="143"/>
        <w:jc w:val="center"/>
        <w:textAlignment w:val="auto"/>
        <w:rPr>
          <w:spacing w:val="6"/>
          <w:sz w:val="36"/>
          <w:szCs w:val="36"/>
          <w:highlight w:val="none"/>
        </w:rPr>
      </w:pPr>
      <w:bookmarkStart w:id="4" w:name="_Toc247527829"/>
      <w:bookmarkStart w:id="5" w:name="_Toc144974858"/>
      <w:bookmarkStart w:id="6" w:name="_Toc152045789"/>
      <w:bookmarkStart w:id="7" w:name="_Toc247514248"/>
      <w:bookmarkStart w:id="8" w:name="_Toc152042578"/>
    </w:p>
    <w:p w14:paraId="4399EE92">
      <w:pPr>
        <w:jc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报价单</w:t>
      </w:r>
    </w:p>
    <w:p w14:paraId="626C8222">
      <w:pPr>
        <w:rPr>
          <w:color w:val="000000" w:themeColor="text1"/>
          <w:highlight w:val="none"/>
          <w14:textFill>
            <w14:solidFill>
              <w14:schemeClr w14:val="tx1"/>
            </w14:solidFill>
          </w14:textFill>
        </w:rPr>
      </w:pPr>
    </w:p>
    <w:tbl>
      <w:tblPr>
        <w:tblStyle w:val="1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6818"/>
      </w:tblGrid>
      <w:tr w14:paraId="70BC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2155" w:type="dxa"/>
            <w:tcBorders>
              <w:tl2br w:val="nil"/>
              <w:tr2bl w:val="nil"/>
            </w:tcBorders>
            <w:noWrap w:val="0"/>
            <w:vAlign w:val="center"/>
          </w:tcPr>
          <w:p w14:paraId="21741702">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项目名称</w:t>
            </w:r>
          </w:p>
        </w:tc>
        <w:tc>
          <w:tcPr>
            <w:tcW w:w="6818" w:type="dxa"/>
            <w:tcBorders>
              <w:tl2br w:val="nil"/>
              <w:tr2bl w:val="nil"/>
            </w:tcBorders>
            <w:noWrap w:val="0"/>
            <w:vAlign w:val="center"/>
          </w:tcPr>
          <w:p w14:paraId="11207413">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highlight w:val="none"/>
                <w:lang w:val="en-US" w:eastAsia="zh-CN"/>
                <w14:textFill>
                  <w14:solidFill>
                    <w14:schemeClr w14:val="tx1"/>
                  </w14:solidFill>
                </w14:textFill>
              </w:rPr>
              <w:t>万基铝业（新疆）有限公司58万吨电解铝建设项目EPC总承包合同履约全过程风控及法律服务</w:t>
            </w:r>
          </w:p>
        </w:tc>
      </w:tr>
      <w:tr w14:paraId="364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exact"/>
          <w:jc w:val="center"/>
        </w:trPr>
        <w:tc>
          <w:tcPr>
            <w:tcW w:w="2155" w:type="dxa"/>
            <w:tcBorders>
              <w:tl2br w:val="nil"/>
              <w:tr2bl w:val="nil"/>
            </w:tcBorders>
            <w:noWrap w:val="0"/>
            <w:vAlign w:val="center"/>
          </w:tcPr>
          <w:p w14:paraId="32E6F47B">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报价（总价包干）</w:t>
            </w:r>
          </w:p>
        </w:tc>
        <w:tc>
          <w:tcPr>
            <w:tcW w:w="6818" w:type="dxa"/>
            <w:tcBorders>
              <w:tl2br w:val="nil"/>
              <w:tr2bl w:val="nil"/>
            </w:tcBorders>
            <w:noWrap w:val="0"/>
            <w:vAlign w:val="center"/>
          </w:tcPr>
          <w:p w14:paraId="438C87CC">
            <w:pPr>
              <w:ind w:left="1600" w:hanging="1400" w:hangingChars="500"/>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大写：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整</w:t>
            </w:r>
          </w:p>
          <w:p w14:paraId="7E9B7743">
            <w:pPr>
              <w:ind w:left="1600" w:hanging="1400" w:hangingChars="5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66898B27">
            <w:pPr>
              <w:ind w:left="1600" w:hanging="1400" w:hangingChars="5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小写：</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7B6C83E6">
            <w:pPr>
              <w:pStyle w:val="18"/>
              <w:rPr>
                <w:rFonts w:hint="eastAsia"/>
                <w:color w:val="000000" w:themeColor="text1"/>
                <w:highlight w:val="none"/>
                <w:lang w:val="en-US" w:eastAsia="zh-CN"/>
                <w14:textFill>
                  <w14:solidFill>
                    <w14:schemeClr w14:val="tx1"/>
                  </w14:solidFill>
                </w14:textFill>
              </w:rPr>
            </w:pPr>
          </w:p>
        </w:tc>
      </w:tr>
      <w:tr w14:paraId="7EB2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2155" w:type="dxa"/>
            <w:tcBorders>
              <w:tl2br w:val="nil"/>
              <w:tr2bl w:val="nil"/>
            </w:tcBorders>
            <w:noWrap w:val="0"/>
            <w:vAlign w:val="center"/>
          </w:tcPr>
          <w:p w14:paraId="75FB6029">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税率</w:t>
            </w:r>
          </w:p>
        </w:tc>
        <w:tc>
          <w:tcPr>
            <w:tcW w:w="6818" w:type="dxa"/>
            <w:tcBorders>
              <w:tl2br w:val="nil"/>
              <w:tr2bl w:val="nil"/>
            </w:tcBorders>
            <w:noWrap w:val="0"/>
            <w:vAlign w:val="center"/>
          </w:tcPr>
          <w:p w14:paraId="4C8FAC00">
            <w:pPr>
              <w:ind w:firstLine="1280" w:firstLineChars="4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tc>
      </w:tr>
      <w:tr w14:paraId="44D2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2155" w:type="dxa"/>
            <w:tcBorders>
              <w:tl2br w:val="nil"/>
              <w:tr2bl w:val="nil"/>
            </w:tcBorders>
            <w:noWrap w:val="0"/>
            <w:vAlign w:val="center"/>
          </w:tcPr>
          <w:p w14:paraId="6313477F">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报价包含内容</w:t>
            </w:r>
          </w:p>
        </w:tc>
        <w:tc>
          <w:tcPr>
            <w:tcW w:w="6818" w:type="dxa"/>
            <w:tcBorders>
              <w:tl2br w:val="nil"/>
              <w:tr2bl w:val="nil"/>
            </w:tcBorders>
            <w:noWrap w:val="0"/>
            <w:vAlign w:val="center"/>
          </w:tcPr>
          <w:p w14:paraId="1769CC64">
            <w:pP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律师服务费、税费、资料费、市内交通费</w:t>
            </w:r>
          </w:p>
        </w:tc>
      </w:tr>
      <w:tr w14:paraId="2BE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2155" w:type="dxa"/>
            <w:tcBorders>
              <w:tl2br w:val="nil"/>
              <w:tr2bl w:val="nil"/>
            </w:tcBorders>
            <w:noWrap w:val="0"/>
            <w:vAlign w:val="center"/>
          </w:tcPr>
          <w:p w14:paraId="082A35E4">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不包含内容</w:t>
            </w:r>
          </w:p>
        </w:tc>
        <w:tc>
          <w:tcPr>
            <w:tcW w:w="6818" w:type="dxa"/>
            <w:tcBorders>
              <w:tl2br w:val="nil"/>
              <w:tr2bl w:val="nil"/>
            </w:tcBorders>
            <w:noWrap w:val="0"/>
            <w:vAlign w:val="center"/>
          </w:tcPr>
          <w:p w14:paraId="6AC52D2D">
            <w:pP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差旅费、诉讼/仲裁/执行代理费（另行协商）</w:t>
            </w:r>
          </w:p>
        </w:tc>
      </w:tr>
      <w:tr w14:paraId="7835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5" w:type="dxa"/>
            <w:tcBorders>
              <w:tl2br w:val="nil"/>
              <w:tr2bl w:val="nil"/>
            </w:tcBorders>
            <w:noWrap w:val="0"/>
            <w:vAlign w:val="center"/>
          </w:tcPr>
          <w:p w14:paraId="378078CD">
            <w:p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备注</w:t>
            </w:r>
          </w:p>
        </w:tc>
        <w:tc>
          <w:tcPr>
            <w:tcW w:w="6818" w:type="dxa"/>
            <w:tcBorders>
              <w:tl2br w:val="nil"/>
              <w:tr2bl w:val="nil"/>
            </w:tcBorders>
            <w:noWrap w:val="0"/>
            <w:vAlign w:val="center"/>
          </w:tcPr>
          <w:p w14:paraId="224F4864">
            <w:pPr>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sz w:val="28"/>
                <w:szCs w:val="28"/>
                <w:highlight w:val="none"/>
                <w:lang w:eastAsia="zh-CN"/>
              </w:rPr>
              <w:t>附</w:t>
            </w:r>
            <w:r>
              <w:rPr>
                <w:rFonts w:hint="default" w:ascii="仿宋" w:hAnsi="仿宋" w:eastAsia="仿宋" w:cs="Times New Roman"/>
                <w:sz w:val="28"/>
                <w:szCs w:val="28"/>
                <w:highlight w:val="none"/>
                <w:lang w:eastAsia="zh-CN"/>
              </w:rPr>
              <w:t>分阶段报价明细、</w:t>
            </w:r>
            <w:r>
              <w:rPr>
                <w:rFonts w:hint="eastAsia" w:ascii="仿宋" w:hAnsi="仿宋" w:eastAsia="仿宋" w:cs="Times New Roman"/>
                <w:sz w:val="28"/>
                <w:szCs w:val="28"/>
                <w:highlight w:val="none"/>
                <w:lang w:val="en-US" w:eastAsia="zh-CN"/>
              </w:rPr>
              <w:t>服务</w:t>
            </w:r>
            <w:r>
              <w:rPr>
                <w:rFonts w:hint="default" w:ascii="仿宋" w:hAnsi="仿宋" w:eastAsia="仿宋" w:cs="Times New Roman"/>
                <w:sz w:val="28"/>
                <w:szCs w:val="28"/>
                <w:highlight w:val="none"/>
                <w:lang w:eastAsia="zh-CN"/>
              </w:rPr>
              <w:t>验收标准</w:t>
            </w:r>
          </w:p>
        </w:tc>
      </w:tr>
      <w:bookmarkEnd w:id="4"/>
      <w:bookmarkEnd w:id="5"/>
      <w:bookmarkEnd w:id="6"/>
      <w:bookmarkEnd w:id="7"/>
      <w:bookmarkEnd w:id="8"/>
    </w:tbl>
    <w:p w14:paraId="0CDAD7F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p>
    <w:p w14:paraId="7F3B164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p>
    <w:p w14:paraId="63330617">
      <w:pPr>
        <w:keepNext w:val="0"/>
        <w:keepLines w:val="0"/>
        <w:pageBreakBefore w:val="0"/>
        <w:widowControl w:val="0"/>
        <w:kinsoku/>
        <w:wordWrap/>
        <w:overflowPunct/>
        <w:topLinePunct w:val="0"/>
        <w:autoSpaceDE/>
        <w:autoSpaceDN/>
        <w:bidi w:val="0"/>
        <w:adjustRightInd w:val="0"/>
        <w:snapToGrid w:val="0"/>
        <w:spacing w:line="560" w:lineRule="exact"/>
        <w:ind w:firstLine="3300" w:firstLineChars="11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公司名称：（盖章）</w:t>
      </w:r>
    </w:p>
    <w:p w14:paraId="76AE504E">
      <w:pPr>
        <w:keepNext w:val="0"/>
        <w:keepLines w:val="0"/>
        <w:pageBreakBefore w:val="0"/>
        <w:widowControl w:val="0"/>
        <w:kinsoku/>
        <w:wordWrap/>
        <w:overflowPunct/>
        <w:topLinePunct w:val="0"/>
        <w:autoSpaceDE/>
        <w:autoSpaceDN/>
        <w:bidi w:val="0"/>
        <w:adjustRightInd w:val="0"/>
        <w:snapToGrid w:val="0"/>
        <w:spacing w:line="560" w:lineRule="exact"/>
        <w:ind w:firstLine="3300" w:firstLineChars="11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法定代表人或授权代表：（签字或盖章）</w:t>
      </w:r>
    </w:p>
    <w:p w14:paraId="2BCA03C9">
      <w:pPr>
        <w:keepNext w:val="0"/>
        <w:keepLines w:val="0"/>
        <w:pageBreakBefore w:val="0"/>
        <w:widowControl w:val="0"/>
        <w:kinsoku/>
        <w:wordWrap/>
        <w:overflowPunct/>
        <w:topLinePunct w:val="0"/>
        <w:autoSpaceDE/>
        <w:autoSpaceDN/>
        <w:bidi w:val="0"/>
        <w:adjustRightInd w:val="0"/>
        <w:snapToGrid w:val="0"/>
        <w:spacing w:line="560" w:lineRule="exact"/>
        <w:ind w:firstLine="3300" w:firstLineChars="11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联系电话：</w:t>
      </w:r>
    </w:p>
    <w:p w14:paraId="70C95F2F">
      <w:pPr>
        <w:keepNext w:val="0"/>
        <w:keepLines w:val="0"/>
        <w:pageBreakBefore w:val="0"/>
        <w:widowControl w:val="0"/>
        <w:kinsoku/>
        <w:wordWrap/>
        <w:overflowPunct/>
        <w:topLinePunct w:val="0"/>
        <w:autoSpaceDE/>
        <w:autoSpaceDN/>
        <w:bidi w:val="0"/>
        <w:adjustRightInd w:val="0"/>
        <w:snapToGrid w:val="0"/>
        <w:spacing w:line="560" w:lineRule="exact"/>
        <w:ind w:firstLine="3300" w:firstLineChars="11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日期：   年   月   日    </w:t>
      </w:r>
    </w:p>
    <w:p w14:paraId="08D10321">
      <w:pPr>
        <w:spacing w:before="0" w:line="224" w:lineRule="auto"/>
        <w:ind w:left="0"/>
        <w:outlineLvl w:val="0"/>
        <w:rPr>
          <w:rFonts w:hint="eastAsia" w:ascii="黑体" w:hAnsi="黑体" w:eastAsia="黑体" w:cs="黑体"/>
          <w:b/>
          <w:bCs/>
          <w:spacing w:val="6"/>
          <w:sz w:val="28"/>
          <w:szCs w:val="28"/>
          <w:woUserID w:val="1"/>
        </w:rPr>
      </w:pPr>
    </w:p>
    <w:p w14:paraId="58404740">
      <w:pPr>
        <w:spacing w:before="0" w:line="224" w:lineRule="auto"/>
        <w:ind w:left="0"/>
        <w:outlineLvl w:val="0"/>
        <w:rPr>
          <w:rFonts w:hint="eastAsia" w:ascii="黑体" w:hAnsi="黑体" w:eastAsia="黑体" w:cs="黑体"/>
          <w:b/>
          <w:bCs/>
          <w:spacing w:val="6"/>
          <w:sz w:val="28"/>
          <w:szCs w:val="28"/>
          <w:woUserID w:val="1"/>
        </w:rPr>
      </w:pPr>
    </w:p>
    <w:p w14:paraId="2B8D6937">
      <w:pPr>
        <w:spacing w:before="0" w:line="224" w:lineRule="auto"/>
        <w:ind w:left="0"/>
        <w:outlineLvl w:val="0"/>
        <w:rPr>
          <w:rFonts w:hint="eastAsia" w:ascii="黑体" w:hAnsi="黑体" w:eastAsia="黑体" w:cs="黑体"/>
          <w:b/>
          <w:bCs/>
          <w:spacing w:val="6"/>
          <w:sz w:val="28"/>
          <w:szCs w:val="28"/>
          <w:woUserID w:val="1"/>
        </w:rPr>
      </w:pPr>
    </w:p>
    <w:p w14:paraId="527EAB3F">
      <w:pPr>
        <w:rPr>
          <w:rFonts w:hint="eastAsia" w:ascii="黑体" w:hAnsi="黑体" w:eastAsia="黑体" w:cs="黑体"/>
          <w:b/>
          <w:bCs/>
          <w:spacing w:val="6"/>
          <w:sz w:val="28"/>
          <w:szCs w:val="28"/>
          <w:woUserID w:val="1"/>
        </w:rPr>
      </w:pPr>
    </w:p>
    <w:p w14:paraId="5B41B9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E4A611F">
      <w:pPr>
        <w:spacing w:before="91" w:line="225" w:lineRule="auto"/>
        <w:jc w:val="center"/>
        <w:outlineLvl w:val="9"/>
        <w:rPr>
          <w:rFonts w:hint="eastAsia" w:ascii="方正小标宋简体" w:hAnsi="方正小标宋简体" w:eastAsia="方正小标宋简体" w:cs="方正小标宋简体"/>
          <w:b w:val="0"/>
          <w:bCs w:val="0"/>
          <w:sz w:val="44"/>
          <w:szCs w:val="44"/>
          <w:highlight w:val="none"/>
          <w:woUserID w:val="1"/>
        </w:rPr>
      </w:pPr>
      <w:r>
        <w:rPr>
          <w:rFonts w:hint="eastAsia" w:ascii="方正小标宋简体" w:hAnsi="方正小标宋简体" w:eastAsia="方正小标宋简体" w:cs="方正小标宋简体"/>
          <w:b w:val="0"/>
          <w:bCs w:val="0"/>
          <w:spacing w:val="6"/>
          <w:sz w:val="44"/>
          <w:szCs w:val="44"/>
          <w:highlight w:val="none"/>
          <w:woUserID w:val="1"/>
        </w:rPr>
        <w:t>律师事务所选聘评分表</w:t>
      </w:r>
    </w:p>
    <w:p w14:paraId="3AD77EA6">
      <w:pPr>
        <w:spacing w:before="1"/>
        <w:rPr>
          <w:highlight w:val="none"/>
          <w:woUserID w:val="1"/>
        </w:rPr>
      </w:pPr>
    </w:p>
    <w:p w14:paraId="79580D69">
      <w:pPr>
        <w:rPr>
          <w:rFonts w:ascii="Arial"/>
          <w:sz w:val="21"/>
          <w:highlight w:val="none"/>
          <w:woUserID w:val="1"/>
        </w:rPr>
      </w:pPr>
    </w:p>
    <w:tbl>
      <w:tblPr>
        <w:tblStyle w:val="15"/>
        <w:tblpPr w:leftFromText="180" w:rightFromText="180" w:vertAnchor="text" w:horzAnchor="page" w:tblpX="1430" w:tblpY="31"/>
        <w:tblOverlap w:val="never"/>
        <w:tblW w:w="90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3"/>
        <w:gridCol w:w="1455"/>
        <w:gridCol w:w="4035"/>
        <w:gridCol w:w="1260"/>
      </w:tblGrid>
      <w:tr w14:paraId="6003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313" w:type="dxa"/>
            <w:vAlign w:val="center"/>
          </w:tcPr>
          <w:p w14:paraId="1606DC2C">
            <w:pPr>
              <w:pStyle w:val="16"/>
              <w:spacing w:before="65" w:line="228" w:lineRule="auto"/>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8"/>
                <w:sz w:val="28"/>
                <w:szCs w:val="28"/>
                <w:highlight w:val="none"/>
                <w:woUserID w:val="1"/>
              </w:rPr>
              <w:t>律师事务所名称</w:t>
            </w:r>
          </w:p>
        </w:tc>
        <w:tc>
          <w:tcPr>
            <w:tcW w:w="6750" w:type="dxa"/>
            <w:gridSpan w:val="3"/>
            <w:vAlign w:val="center"/>
          </w:tcPr>
          <w:p w14:paraId="33C4C1AB">
            <w:pPr>
              <w:jc w:val="center"/>
              <w:rPr>
                <w:rFonts w:hint="eastAsia" w:ascii="仿宋_GB2312" w:hAnsi="仿宋_GB2312" w:eastAsia="仿宋_GB2312" w:cs="仿宋_GB2312"/>
                <w:sz w:val="28"/>
                <w:szCs w:val="28"/>
                <w:highlight w:val="none"/>
                <w:woUserID w:val="1"/>
              </w:rPr>
            </w:pPr>
          </w:p>
        </w:tc>
      </w:tr>
      <w:tr w14:paraId="7C52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13" w:type="dxa"/>
            <w:vAlign w:val="center"/>
          </w:tcPr>
          <w:p w14:paraId="79933091">
            <w:pPr>
              <w:pStyle w:val="16"/>
              <w:spacing w:before="65" w:line="228" w:lineRule="auto"/>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8"/>
                <w:sz w:val="28"/>
                <w:szCs w:val="28"/>
                <w:highlight w:val="none"/>
                <w:woUserID w:val="1"/>
              </w:rPr>
              <w:t>委派律师姓名</w:t>
            </w:r>
          </w:p>
        </w:tc>
        <w:tc>
          <w:tcPr>
            <w:tcW w:w="6750" w:type="dxa"/>
            <w:gridSpan w:val="3"/>
            <w:vAlign w:val="center"/>
          </w:tcPr>
          <w:p w14:paraId="3A21511C">
            <w:pPr>
              <w:jc w:val="center"/>
              <w:rPr>
                <w:rFonts w:hint="eastAsia" w:ascii="仿宋_GB2312" w:hAnsi="仿宋_GB2312" w:eastAsia="仿宋_GB2312" w:cs="仿宋_GB2312"/>
                <w:sz w:val="28"/>
                <w:szCs w:val="28"/>
                <w:highlight w:val="none"/>
                <w:woUserID w:val="1"/>
              </w:rPr>
            </w:pPr>
          </w:p>
        </w:tc>
      </w:tr>
      <w:tr w14:paraId="75C5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2313" w:type="dxa"/>
            <w:vAlign w:val="center"/>
          </w:tcPr>
          <w:p w14:paraId="3A0A0A97">
            <w:pPr>
              <w:pStyle w:val="16"/>
              <w:spacing w:before="66" w:line="228"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b/>
                <w:bCs/>
                <w:spacing w:val="7"/>
                <w:sz w:val="28"/>
                <w:szCs w:val="28"/>
                <w:highlight w:val="none"/>
                <w:woUserID w:val="1"/>
              </w:rPr>
              <w:t>评审项</w:t>
            </w:r>
          </w:p>
        </w:tc>
        <w:tc>
          <w:tcPr>
            <w:tcW w:w="1455" w:type="dxa"/>
            <w:vAlign w:val="center"/>
          </w:tcPr>
          <w:p w14:paraId="09DDDDAE">
            <w:pPr>
              <w:pStyle w:val="16"/>
              <w:spacing w:before="178" w:line="228" w:lineRule="auto"/>
              <w:ind w:left="192"/>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7"/>
                <w:sz w:val="28"/>
                <w:szCs w:val="28"/>
                <w:highlight w:val="none"/>
                <w:woUserID w:val="1"/>
              </w:rPr>
              <w:t>评审分值</w:t>
            </w:r>
          </w:p>
          <w:p w14:paraId="62AAB39B">
            <w:pPr>
              <w:pStyle w:val="16"/>
              <w:spacing w:before="65" w:line="228" w:lineRule="auto"/>
              <w:ind w:left="203"/>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2"/>
                <w:sz w:val="28"/>
                <w:szCs w:val="28"/>
                <w:highlight w:val="none"/>
                <w:woUserID w:val="1"/>
              </w:rPr>
              <w:t>（满分）</w:t>
            </w:r>
          </w:p>
        </w:tc>
        <w:tc>
          <w:tcPr>
            <w:tcW w:w="4035" w:type="dxa"/>
            <w:vAlign w:val="center"/>
          </w:tcPr>
          <w:p w14:paraId="74421EA2">
            <w:pPr>
              <w:pStyle w:val="16"/>
              <w:spacing w:before="66" w:line="228" w:lineRule="auto"/>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7"/>
                <w:sz w:val="28"/>
                <w:szCs w:val="28"/>
                <w:highlight w:val="none"/>
                <w:woUserID w:val="1"/>
              </w:rPr>
              <w:t>评审标准</w:t>
            </w:r>
          </w:p>
        </w:tc>
        <w:tc>
          <w:tcPr>
            <w:tcW w:w="1260" w:type="dxa"/>
            <w:vAlign w:val="center"/>
          </w:tcPr>
          <w:p w14:paraId="56249817">
            <w:pPr>
              <w:pStyle w:val="16"/>
              <w:spacing w:before="65" w:line="228" w:lineRule="auto"/>
              <w:jc w:val="center"/>
              <w:rPr>
                <w:rFonts w:hint="eastAsia" w:ascii="仿宋_GB2312" w:hAnsi="仿宋_GB2312" w:eastAsia="仿宋_GB2312" w:cs="仿宋_GB2312"/>
                <w:b/>
                <w:bCs/>
                <w:sz w:val="28"/>
                <w:szCs w:val="28"/>
                <w:highlight w:val="none"/>
                <w:woUserID w:val="1"/>
              </w:rPr>
            </w:pPr>
            <w:r>
              <w:rPr>
                <w:rFonts w:hint="eastAsia" w:ascii="仿宋_GB2312" w:hAnsi="仿宋_GB2312" w:eastAsia="仿宋_GB2312" w:cs="仿宋_GB2312"/>
                <w:b/>
                <w:bCs/>
                <w:spacing w:val="4"/>
                <w:sz w:val="28"/>
                <w:szCs w:val="28"/>
                <w:highlight w:val="none"/>
                <w:woUserID w:val="1"/>
              </w:rPr>
              <w:t>得分</w:t>
            </w:r>
          </w:p>
        </w:tc>
      </w:tr>
      <w:tr w14:paraId="03DD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13" w:type="dxa"/>
            <w:tcBorders>
              <w:bottom w:val="nil"/>
            </w:tcBorders>
            <w:vAlign w:val="center"/>
          </w:tcPr>
          <w:p w14:paraId="5D86D983">
            <w:pPr>
              <w:pStyle w:val="16"/>
              <w:spacing w:before="65" w:line="227"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8"/>
                <w:sz w:val="28"/>
                <w:szCs w:val="28"/>
                <w:highlight w:val="none"/>
                <w:woUserID w:val="1"/>
              </w:rPr>
              <w:t>律师事务所基本情况</w:t>
            </w:r>
          </w:p>
        </w:tc>
        <w:tc>
          <w:tcPr>
            <w:tcW w:w="1455" w:type="dxa"/>
            <w:tcBorders>
              <w:bottom w:val="nil"/>
            </w:tcBorders>
            <w:vAlign w:val="center"/>
          </w:tcPr>
          <w:p w14:paraId="5F130981">
            <w:pPr>
              <w:spacing w:before="57" w:line="192"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z w:val="28"/>
                <w:szCs w:val="28"/>
                <w:highlight w:val="none"/>
                <w:woUserID w:val="1"/>
              </w:rPr>
              <w:t>5</w:t>
            </w:r>
          </w:p>
        </w:tc>
        <w:tc>
          <w:tcPr>
            <w:tcW w:w="4035" w:type="dxa"/>
            <w:vAlign w:val="center"/>
          </w:tcPr>
          <w:p w14:paraId="5C1581D5">
            <w:pPr>
              <w:pStyle w:val="16"/>
              <w:spacing w:before="53" w:line="261" w:lineRule="auto"/>
              <w:ind w:left="114" w:right="131"/>
              <w:jc w:val="both"/>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6"/>
                <w:sz w:val="28"/>
                <w:szCs w:val="28"/>
                <w:highlight w:val="none"/>
                <w:woUserID w:val="1"/>
              </w:rPr>
              <w:t>成立时间：10年以上得3分；5～10</w:t>
            </w:r>
            <w:r>
              <w:rPr>
                <w:rFonts w:hint="eastAsia" w:ascii="仿宋_GB2312" w:hAnsi="仿宋_GB2312" w:eastAsia="仿宋_GB2312" w:cs="仿宋_GB2312"/>
                <w:spacing w:val="3"/>
                <w:sz w:val="28"/>
                <w:szCs w:val="28"/>
                <w:highlight w:val="none"/>
                <w:woUserID w:val="1"/>
              </w:rPr>
              <w:t>年得2分；不足5年得0分。</w:t>
            </w:r>
          </w:p>
        </w:tc>
        <w:tc>
          <w:tcPr>
            <w:tcW w:w="1260" w:type="dxa"/>
            <w:vAlign w:val="center"/>
          </w:tcPr>
          <w:p w14:paraId="58F25EA6">
            <w:pPr>
              <w:jc w:val="center"/>
              <w:rPr>
                <w:rFonts w:hint="eastAsia" w:ascii="仿宋_GB2312" w:hAnsi="仿宋_GB2312" w:eastAsia="仿宋_GB2312" w:cs="仿宋_GB2312"/>
                <w:sz w:val="28"/>
                <w:szCs w:val="28"/>
                <w:highlight w:val="none"/>
                <w:woUserID w:val="1"/>
              </w:rPr>
            </w:pPr>
          </w:p>
        </w:tc>
      </w:tr>
      <w:tr w14:paraId="3C8C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313" w:type="dxa"/>
            <w:vAlign w:val="center"/>
          </w:tcPr>
          <w:p w14:paraId="1E6C7886">
            <w:pPr>
              <w:pStyle w:val="16"/>
              <w:spacing w:before="65" w:line="228"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8"/>
                <w:sz w:val="28"/>
                <w:szCs w:val="28"/>
                <w:highlight w:val="none"/>
                <w:woUserID w:val="1"/>
              </w:rPr>
              <w:t>法律服务团队综合能力</w:t>
            </w:r>
          </w:p>
        </w:tc>
        <w:tc>
          <w:tcPr>
            <w:tcW w:w="1455" w:type="dxa"/>
            <w:vAlign w:val="center"/>
          </w:tcPr>
          <w:p w14:paraId="6B5BA6E3">
            <w:pPr>
              <w:spacing w:before="58" w:line="195"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z w:val="28"/>
                <w:szCs w:val="28"/>
                <w:highlight w:val="none"/>
                <w:woUserID w:val="1"/>
              </w:rPr>
              <w:t>30</w:t>
            </w:r>
          </w:p>
        </w:tc>
        <w:tc>
          <w:tcPr>
            <w:tcW w:w="4035" w:type="dxa"/>
            <w:vAlign w:val="center"/>
          </w:tcPr>
          <w:p w14:paraId="1F877196">
            <w:pPr>
              <w:pStyle w:val="16"/>
              <w:spacing w:before="52" w:line="270" w:lineRule="auto"/>
              <w:ind w:left="113" w:right="106"/>
              <w:jc w:val="both"/>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7"/>
                <w:sz w:val="28"/>
                <w:szCs w:val="28"/>
                <w:highlight w:val="none"/>
                <w:woUserID w:val="1"/>
              </w:rPr>
              <w:t>根据顾问律师职务、专业技术职称、从业履历、技能、综合实力综合评议</w:t>
            </w:r>
            <w:r>
              <w:rPr>
                <w:rFonts w:hint="eastAsia" w:ascii="仿宋_GB2312" w:hAnsi="仿宋_GB2312" w:eastAsia="仿宋_GB2312" w:cs="仿宋_GB2312"/>
                <w:spacing w:val="2"/>
                <w:sz w:val="28"/>
                <w:szCs w:val="28"/>
                <w:highlight w:val="none"/>
                <w:woUserID w:val="1"/>
              </w:rPr>
              <w:t>给分。</w:t>
            </w:r>
          </w:p>
        </w:tc>
        <w:tc>
          <w:tcPr>
            <w:tcW w:w="1260" w:type="dxa"/>
            <w:vAlign w:val="center"/>
          </w:tcPr>
          <w:p w14:paraId="703E0B00">
            <w:pPr>
              <w:jc w:val="center"/>
              <w:rPr>
                <w:rFonts w:hint="eastAsia" w:ascii="仿宋_GB2312" w:hAnsi="仿宋_GB2312" w:eastAsia="仿宋_GB2312" w:cs="仿宋_GB2312"/>
                <w:sz w:val="28"/>
                <w:szCs w:val="28"/>
                <w:highlight w:val="none"/>
                <w:woUserID w:val="1"/>
              </w:rPr>
            </w:pPr>
          </w:p>
        </w:tc>
      </w:tr>
      <w:tr w14:paraId="53A9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313" w:type="dxa"/>
            <w:vAlign w:val="center"/>
          </w:tcPr>
          <w:p w14:paraId="5CAE149A">
            <w:pPr>
              <w:pStyle w:val="16"/>
              <w:spacing w:before="65" w:line="228"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6"/>
                <w:sz w:val="28"/>
                <w:szCs w:val="28"/>
                <w:highlight w:val="none"/>
                <w:lang w:val="en-US" w:eastAsia="zh-CN"/>
                <w:woUserID w:val="1"/>
              </w:rPr>
              <w:t>同类项目</w:t>
            </w:r>
            <w:r>
              <w:rPr>
                <w:rFonts w:hint="eastAsia" w:ascii="仿宋_GB2312" w:hAnsi="仿宋_GB2312" w:eastAsia="仿宋_GB2312" w:cs="仿宋_GB2312"/>
                <w:spacing w:val="6"/>
                <w:sz w:val="28"/>
                <w:szCs w:val="28"/>
                <w:highlight w:val="none"/>
                <w:woUserID w:val="1"/>
              </w:rPr>
              <w:t>业绩</w:t>
            </w:r>
          </w:p>
        </w:tc>
        <w:tc>
          <w:tcPr>
            <w:tcW w:w="1455" w:type="dxa"/>
            <w:vAlign w:val="center"/>
          </w:tcPr>
          <w:p w14:paraId="04F2468A">
            <w:pPr>
              <w:spacing w:before="58" w:line="195"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2"/>
                <w:sz w:val="28"/>
                <w:szCs w:val="28"/>
                <w:highlight w:val="none"/>
                <w:woUserID w:val="1"/>
              </w:rPr>
              <w:t>25</w:t>
            </w:r>
          </w:p>
        </w:tc>
        <w:tc>
          <w:tcPr>
            <w:tcW w:w="4035" w:type="dxa"/>
            <w:vAlign w:val="center"/>
          </w:tcPr>
          <w:p w14:paraId="3B9ACBBC">
            <w:pPr>
              <w:pStyle w:val="16"/>
              <w:spacing w:before="54" w:line="274" w:lineRule="auto"/>
              <w:ind w:left="113" w:right="104"/>
              <w:jc w:val="both"/>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21"/>
                <w:sz w:val="28"/>
                <w:szCs w:val="28"/>
                <w:highlight w:val="none"/>
                <w:woUserID w:val="1"/>
              </w:rPr>
              <w:t>根据对相应的公司业态提供服务的</w:t>
            </w:r>
            <w:r>
              <w:rPr>
                <w:rFonts w:hint="eastAsia" w:ascii="仿宋_GB2312" w:hAnsi="仿宋_GB2312" w:eastAsia="仿宋_GB2312" w:cs="仿宋_GB2312"/>
                <w:spacing w:val="7"/>
                <w:sz w:val="28"/>
                <w:szCs w:val="28"/>
                <w:highlight w:val="none"/>
                <w:woUserID w:val="1"/>
              </w:rPr>
              <w:t>服务对象、服务年限、服务业绩与拟</w:t>
            </w:r>
            <w:r>
              <w:rPr>
                <w:rFonts w:hint="eastAsia" w:ascii="仿宋_GB2312" w:hAnsi="仿宋_GB2312" w:eastAsia="仿宋_GB2312" w:cs="仿宋_GB2312"/>
                <w:spacing w:val="21"/>
                <w:sz w:val="28"/>
                <w:szCs w:val="28"/>
                <w:highlight w:val="none"/>
                <w:woUserID w:val="1"/>
              </w:rPr>
              <w:t>聘用单位要求的符合程度综合考量</w:t>
            </w:r>
            <w:r>
              <w:rPr>
                <w:rFonts w:hint="eastAsia" w:ascii="仿宋_GB2312" w:hAnsi="仿宋_GB2312" w:eastAsia="仿宋_GB2312" w:cs="仿宋_GB2312"/>
                <w:spacing w:val="3"/>
                <w:sz w:val="28"/>
                <w:szCs w:val="28"/>
                <w:highlight w:val="none"/>
                <w:woUserID w:val="1"/>
              </w:rPr>
              <w:t>给分。</w:t>
            </w:r>
          </w:p>
        </w:tc>
        <w:tc>
          <w:tcPr>
            <w:tcW w:w="1260" w:type="dxa"/>
            <w:vAlign w:val="center"/>
          </w:tcPr>
          <w:p w14:paraId="776FCAD5">
            <w:pPr>
              <w:jc w:val="center"/>
              <w:rPr>
                <w:rFonts w:hint="eastAsia" w:ascii="仿宋_GB2312" w:hAnsi="仿宋_GB2312" w:eastAsia="仿宋_GB2312" w:cs="仿宋_GB2312"/>
                <w:sz w:val="28"/>
                <w:szCs w:val="28"/>
                <w:highlight w:val="none"/>
                <w:woUserID w:val="1"/>
              </w:rPr>
            </w:pPr>
          </w:p>
        </w:tc>
      </w:tr>
      <w:tr w14:paraId="4827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313" w:type="dxa"/>
            <w:vAlign w:val="center"/>
          </w:tcPr>
          <w:p w14:paraId="5FA8554D">
            <w:pPr>
              <w:pStyle w:val="16"/>
              <w:spacing w:before="65" w:line="226"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7"/>
                <w:sz w:val="28"/>
                <w:szCs w:val="28"/>
                <w:highlight w:val="none"/>
                <w:woUserID w:val="1"/>
              </w:rPr>
              <w:t>服务报价</w:t>
            </w:r>
          </w:p>
        </w:tc>
        <w:tc>
          <w:tcPr>
            <w:tcW w:w="1455" w:type="dxa"/>
            <w:vAlign w:val="center"/>
          </w:tcPr>
          <w:p w14:paraId="606E7353">
            <w:pPr>
              <w:spacing w:before="58" w:line="195"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3"/>
                <w:sz w:val="28"/>
                <w:szCs w:val="28"/>
                <w:highlight w:val="none"/>
                <w:woUserID w:val="1"/>
              </w:rPr>
              <w:t>40</w:t>
            </w:r>
          </w:p>
        </w:tc>
        <w:tc>
          <w:tcPr>
            <w:tcW w:w="4035" w:type="dxa"/>
            <w:vAlign w:val="center"/>
          </w:tcPr>
          <w:p w14:paraId="6E56EB69">
            <w:pPr>
              <w:pStyle w:val="16"/>
              <w:spacing w:before="54" w:line="274" w:lineRule="auto"/>
              <w:ind w:left="113" w:right="104"/>
              <w:jc w:val="both"/>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21"/>
                <w:sz w:val="28"/>
                <w:szCs w:val="28"/>
                <w:highlight w:val="none"/>
                <w:woUserID w:val="1"/>
              </w:rPr>
              <w:t>报价最低者得40分，价高者依次递减，每高一名次扣减5分。</w:t>
            </w:r>
          </w:p>
        </w:tc>
        <w:tc>
          <w:tcPr>
            <w:tcW w:w="1260" w:type="dxa"/>
            <w:vAlign w:val="center"/>
          </w:tcPr>
          <w:p w14:paraId="4CC324C0">
            <w:pPr>
              <w:jc w:val="center"/>
              <w:rPr>
                <w:rFonts w:hint="eastAsia" w:ascii="仿宋_GB2312" w:hAnsi="仿宋_GB2312" w:eastAsia="仿宋_GB2312" w:cs="仿宋_GB2312"/>
                <w:sz w:val="28"/>
                <w:szCs w:val="28"/>
                <w:highlight w:val="none"/>
                <w:woUserID w:val="1"/>
              </w:rPr>
            </w:pPr>
          </w:p>
        </w:tc>
      </w:tr>
      <w:tr w14:paraId="15E3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313" w:type="dxa"/>
            <w:vAlign w:val="center"/>
          </w:tcPr>
          <w:p w14:paraId="122145F2">
            <w:pPr>
              <w:pStyle w:val="16"/>
              <w:spacing w:before="65" w:line="226"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7"/>
                <w:sz w:val="28"/>
                <w:szCs w:val="28"/>
                <w:highlight w:val="none"/>
                <w:woUserID w:val="1"/>
              </w:rPr>
              <w:t>总计</w:t>
            </w:r>
          </w:p>
        </w:tc>
        <w:tc>
          <w:tcPr>
            <w:tcW w:w="1455" w:type="dxa"/>
            <w:vAlign w:val="center"/>
          </w:tcPr>
          <w:p w14:paraId="50772751">
            <w:pPr>
              <w:spacing w:before="58" w:line="195" w:lineRule="auto"/>
              <w:jc w:val="center"/>
              <w:rPr>
                <w:rFonts w:hint="eastAsia" w:ascii="仿宋_GB2312" w:hAnsi="仿宋_GB2312" w:eastAsia="仿宋_GB2312" w:cs="仿宋_GB2312"/>
                <w:sz w:val="28"/>
                <w:szCs w:val="28"/>
                <w:highlight w:val="none"/>
                <w:woUserID w:val="1"/>
              </w:rPr>
            </w:pPr>
            <w:r>
              <w:rPr>
                <w:rFonts w:hint="eastAsia" w:ascii="仿宋_GB2312" w:hAnsi="仿宋_GB2312" w:eastAsia="仿宋_GB2312" w:cs="仿宋_GB2312"/>
                <w:spacing w:val="-3"/>
                <w:sz w:val="28"/>
                <w:szCs w:val="28"/>
                <w:highlight w:val="none"/>
                <w:woUserID w:val="1"/>
              </w:rPr>
              <w:t>100</w:t>
            </w:r>
          </w:p>
        </w:tc>
        <w:tc>
          <w:tcPr>
            <w:tcW w:w="4035" w:type="dxa"/>
            <w:vAlign w:val="center"/>
          </w:tcPr>
          <w:p w14:paraId="773D1017">
            <w:pPr>
              <w:jc w:val="center"/>
              <w:rPr>
                <w:rFonts w:hint="eastAsia" w:ascii="仿宋_GB2312" w:hAnsi="仿宋_GB2312" w:eastAsia="仿宋_GB2312" w:cs="仿宋_GB2312"/>
                <w:sz w:val="28"/>
                <w:szCs w:val="28"/>
                <w:highlight w:val="none"/>
                <w:woUserID w:val="1"/>
              </w:rPr>
            </w:pPr>
          </w:p>
        </w:tc>
        <w:tc>
          <w:tcPr>
            <w:tcW w:w="1260" w:type="dxa"/>
            <w:vAlign w:val="center"/>
          </w:tcPr>
          <w:p w14:paraId="7D0876FF">
            <w:pPr>
              <w:jc w:val="center"/>
              <w:rPr>
                <w:rFonts w:hint="eastAsia" w:ascii="仿宋_GB2312" w:hAnsi="仿宋_GB2312" w:eastAsia="仿宋_GB2312" w:cs="仿宋_GB2312"/>
                <w:sz w:val="28"/>
                <w:szCs w:val="28"/>
                <w:highlight w:val="none"/>
                <w:woUserID w:val="1"/>
              </w:rPr>
            </w:pPr>
          </w:p>
        </w:tc>
      </w:tr>
    </w:tbl>
    <w:p w14:paraId="2CF6538F">
      <w:pPr>
        <w:spacing w:line="540" w:lineRule="exact"/>
        <w:rPr>
          <w:rFonts w:hint="eastAsia" w:ascii="仿宋" w:hAnsi="仿宋" w:eastAsia="仿宋"/>
          <w:sz w:val="28"/>
          <w:szCs w:val="28"/>
          <w:highlight w:val="none"/>
        </w:rPr>
      </w:pPr>
    </w:p>
    <w:p w14:paraId="5E623FAC">
      <w:pPr>
        <w:rPr>
          <w:rFonts w:hint="eastAsia"/>
          <w:highlight w:val="none"/>
        </w:rPr>
      </w:pPr>
      <w:r>
        <w:rPr>
          <w:rFonts w:hint="eastAsia" w:ascii="仿宋" w:hAnsi="仿宋" w:eastAsia="仿宋"/>
          <w:sz w:val="28"/>
          <w:szCs w:val="28"/>
          <w:highlight w:val="none"/>
        </w:rPr>
        <w:br w:type="page"/>
      </w:r>
    </w:p>
    <w:p w14:paraId="57C43C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80547D2">
      <w:pPr>
        <w:spacing w:after="312" w:afterLines="100" w:line="440" w:lineRule="exact"/>
        <w:jc w:val="center"/>
        <w:rPr>
          <w:rFonts w:hint="eastAsia" w:ascii="宋体" w:hAnsi="宋体"/>
          <w:b/>
          <w:sz w:val="44"/>
          <w:szCs w:val="44"/>
          <w:highlight w:val="none"/>
        </w:rPr>
      </w:pPr>
    </w:p>
    <w:p w14:paraId="2E1C20B7">
      <w:pPr>
        <w:spacing w:after="312" w:afterLines="100" w:line="440" w:lineRule="exact"/>
        <w:jc w:val="center"/>
        <w:rPr>
          <w:rFonts w:hint="eastAsia" w:ascii="宋体" w:hAnsi="宋体"/>
          <w:b/>
          <w:sz w:val="44"/>
          <w:szCs w:val="44"/>
          <w:highlight w:val="none"/>
        </w:rPr>
      </w:pPr>
      <w:r>
        <w:rPr>
          <w:rFonts w:hint="eastAsia" w:ascii="宋体" w:hAnsi="宋体"/>
          <w:b/>
          <w:sz w:val="44"/>
          <w:szCs w:val="44"/>
          <w:highlight w:val="none"/>
        </w:rPr>
        <w:t>法定代表人授权委托书</w:t>
      </w:r>
    </w:p>
    <w:p w14:paraId="0F8584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4F775B11">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本人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（姓名）系</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（律师事务所名称）的法定代表人，现委托</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（姓名）为我方代理人。代理人根据授权，以我方名义签署、澄清、说明、补正、递交、撤回、修改</w:t>
      </w:r>
      <w:r>
        <w:rPr>
          <w:rFonts w:hint="eastAsia" w:ascii="仿宋_GB2312" w:hAnsi="仿宋_GB2312" w:eastAsia="仿宋_GB2312" w:cs="仿宋_GB2312"/>
          <w:b/>
          <w:bCs/>
          <w:sz w:val="31"/>
          <w:szCs w:val="31"/>
          <w:highlight w:val="none"/>
          <w:u w:val="single"/>
          <w:lang w:val="en-US" w:eastAsia="zh-CN"/>
        </w:rPr>
        <w:t>万基铝业（新疆）有限公司选聘58万吨电解铝建设项目EPC总承包合同履约全过程风控及法律服务机构</w:t>
      </w:r>
      <w:r>
        <w:rPr>
          <w:rFonts w:hint="eastAsia" w:ascii="仿宋_GB2312" w:hAnsi="仿宋_GB2312" w:eastAsia="仿宋_GB2312" w:cs="仿宋_GB2312"/>
          <w:sz w:val="31"/>
          <w:szCs w:val="31"/>
          <w:highlight w:val="none"/>
          <w:lang w:val="en-US" w:eastAsia="zh-CN"/>
        </w:rPr>
        <w:t>询比价</w:t>
      </w:r>
      <w:r>
        <w:rPr>
          <w:rFonts w:hint="eastAsia" w:ascii="仿宋_GB2312" w:hAnsi="仿宋_GB2312" w:eastAsia="仿宋_GB2312" w:cs="仿宋_GB2312"/>
          <w:sz w:val="31"/>
          <w:szCs w:val="31"/>
          <w:highlight w:val="none"/>
        </w:rPr>
        <w:t>文件，洽谈并签订合同及处理有关事宜，其法律后果由我方承担。</w:t>
      </w:r>
    </w:p>
    <w:p w14:paraId="0144386C">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eastAsia" w:ascii="仿宋_GB2312" w:hAnsi="仿宋_GB2312" w:eastAsia="仿宋_GB2312" w:cs="仿宋_GB2312"/>
          <w:sz w:val="31"/>
          <w:szCs w:val="31"/>
          <w:highlight w:val="none"/>
          <w:u w:val="single"/>
        </w:rPr>
      </w:pPr>
      <w:r>
        <w:rPr>
          <w:rFonts w:hint="eastAsia" w:ascii="仿宋_GB2312" w:hAnsi="仿宋_GB2312" w:eastAsia="仿宋_GB2312" w:cs="仿宋_GB2312"/>
          <w:sz w:val="31"/>
          <w:szCs w:val="31"/>
          <w:highlight w:val="none"/>
        </w:rPr>
        <w:t>委托期限：</w:t>
      </w:r>
      <w:r>
        <w:rPr>
          <w:rFonts w:hint="eastAsia" w:ascii="仿宋_GB2312" w:hAnsi="仿宋_GB2312" w:eastAsia="仿宋_GB2312" w:cs="仿宋_GB2312"/>
          <w:sz w:val="31"/>
          <w:szCs w:val="31"/>
          <w:highlight w:val="none"/>
          <w:u w:val="single"/>
        </w:rPr>
        <w:t>自本委托书签署之日起至本项目服务结束止。</w:t>
      </w:r>
    </w:p>
    <w:p w14:paraId="360C7573">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代理人无转委托权。</w:t>
      </w:r>
    </w:p>
    <w:p w14:paraId="485076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p>
    <w:p w14:paraId="62724E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p>
    <w:p w14:paraId="569038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lang w:val="en-US" w:eastAsia="zh-CN"/>
        </w:rPr>
        <w:t xml:space="preserve">         </w:t>
      </w:r>
      <w:r>
        <w:rPr>
          <w:rFonts w:hint="eastAsia" w:ascii="仿宋_GB2312" w:hAnsi="仿宋_GB2312" w:eastAsia="仿宋_GB2312" w:cs="仿宋_GB2312"/>
          <w:sz w:val="31"/>
          <w:szCs w:val="31"/>
          <w:highlight w:val="none"/>
        </w:rPr>
        <w:t>投标人：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（盖单位章）</w:t>
      </w:r>
    </w:p>
    <w:p w14:paraId="4D4A5EC3">
      <w:pPr>
        <w:keepNext w:val="0"/>
        <w:keepLines w:val="0"/>
        <w:pageBreakBefore w:val="0"/>
        <w:widowControl w:val="0"/>
        <w:kinsoku/>
        <w:wordWrap/>
        <w:overflowPunct/>
        <w:topLinePunct w:val="0"/>
        <w:autoSpaceDE/>
        <w:autoSpaceDN/>
        <w:bidi w:val="0"/>
        <w:adjustRightInd w:val="0"/>
        <w:snapToGrid w:val="0"/>
        <w:spacing w:line="560" w:lineRule="exact"/>
        <w:ind w:firstLine="1550" w:firstLineChars="5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法定代表人：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（签字）</w:t>
      </w:r>
    </w:p>
    <w:p w14:paraId="511C7589">
      <w:pPr>
        <w:keepNext w:val="0"/>
        <w:keepLines w:val="0"/>
        <w:pageBreakBefore w:val="0"/>
        <w:widowControl w:val="0"/>
        <w:kinsoku/>
        <w:wordWrap/>
        <w:overflowPunct/>
        <w:topLinePunct w:val="0"/>
        <w:autoSpaceDE/>
        <w:autoSpaceDN/>
        <w:bidi w:val="0"/>
        <w:adjustRightInd w:val="0"/>
        <w:snapToGrid w:val="0"/>
        <w:spacing w:line="560" w:lineRule="exact"/>
        <w:ind w:firstLine="1550" w:firstLineChars="5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身份证号码：</w:t>
      </w:r>
      <w:r>
        <w:rPr>
          <w:rFonts w:hint="eastAsia" w:ascii="仿宋_GB2312" w:hAnsi="仿宋_GB2312" w:eastAsia="仿宋_GB2312" w:cs="仿宋_GB2312"/>
          <w:sz w:val="31"/>
          <w:szCs w:val="31"/>
          <w:highlight w:val="none"/>
          <w:u w:val="single"/>
        </w:rPr>
        <w:t xml:space="preserve">                     </w:t>
      </w:r>
    </w:p>
    <w:p w14:paraId="7FBE4860">
      <w:pPr>
        <w:keepNext w:val="0"/>
        <w:keepLines w:val="0"/>
        <w:pageBreakBefore w:val="0"/>
        <w:widowControl w:val="0"/>
        <w:kinsoku/>
        <w:wordWrap/>
        <w:overflowPunct/>
        <w:topLinePunct w:val="0"/>
        <w:autoSpaceDE/>
        <w:autoSpaceDN/>
        <w:bidi w:val="0"/>
        <w:adjustRightInd w:val="0"/>
        <w:snapToGrid w:val="0"/>
        <w:spacing w:line="560" w:lineRule="exact"/>
        <w:ind w:firstLine="1550" w:firstLineChars="5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委托代理人：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（签字）</w:t>
      </w:r>
    </w:p>
    <w:p w14:paraId="3CE365B5">
      <w:pPr>
        <w:keepNext w:val="0"/>
        <w:keepLines w:val="0"/>
        <w:pageBreakBefore w:val="0"/>
        <w:widowControl w:val="0"/>
        <w:kinsoku/>
        <w:wordWrap/>
        <w:overflowPunct/>
        <w:topLinePunct w:val="0"/>
        <w:autoSpaceDE/>
        <w:autoSpaceDN/>
        <w:bidi w:val="0"/>
        <w:adjustRightInd w:val="0"/>
        <w:snapToGrid w:val="0"/>
        <w:spacing w:line="560" w:lineRule="exact"/>
        <w:ind w:firstLine="1550" w:firstLineChars="5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身份证号码：</w:t>
      </w:r>
      <w:r>
        <w:rPr>
          <w:rFonts w:hint="eastAsia" w:ascii="仿宋_GB2312" w:hAnsi="仿宋_GB2312" w:eastAsia="仿宋_GB2312" w:cs="仿宋_GB2312"/>
          <w:sz w:val="31"/>
          <w:szCs w:val="31"/>
          <w:highlight w:val="none"/>
          <w:u w:val="single"/>
        </w:rPr>
        <w:t xml:space="preserve">                     </w:t>
      </w:r>
    </w:p>
    <w:p w14:paraId="4C08F622">
      <w:pPr>
        <w:keepNext w:val="0"/>
        <w:keepLines w:val="0"/>
        <w:pageBreakBefore w:val="0"/>
        <w:widowControl w:val="0"/>
        <w:kinsoku/>
        <w:wordWrap/>
        <w:overflowPunct/>
        <w:topLinePunct w:val="0"/>
        <w:autoSpaceDE/>
        <w:autoSpaceDN/>
        <w:bidi w:val="0"/>
        <w:adjustRightInd w:val="0"/>
        <w:snapToGrid w:val="0"/>
        <w:spacing w:line="560" w:lineRule="exact"/>
        <w:ind w:firstLine="1550" w:firstLineChars="500"/>
        <w:jc w:val="both"/>
        <w:textAlignment w:val="auto"/>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日期：</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年</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月</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rPr>
        <w:t>日</w:t>
      </w:r>
    </w:p>
    <w:p w14:paraId="2BE458EC">
      <w:pPr>
        <w:spacing w:line="540" w:lineRule="exact"/>
        <w:ind w:firstLine="560" w:firstLineChars="200"/>
        <w:rPr>
          <w:rFonts w:hint="eastAsia" w:ascii="仿宋" w:hAnsi="仿宋" w:eastAsia="仿宋"/>
          <w:sz w:val="28"/>
          <w:szCs w:val="28"/>
          <w:highlight w:val="none"/>
        </w:rPr>
      </w:pPr>
    </w:p>
    <w:p w14:paraId="1D9A88A0">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37954E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0FE308F">
      <w:pPr>
        <w:keepNext w:val="0"/>
        <w:keepLines w:val="0"/>
        <w:pageBreakBefore w:val="0"/>
        <w:widowControl/>
        <w:kinsoku/>
        <w:wordWrap/>
        <w:overflowPunct/>
        <w:topLinePunct w:val="0"/>
        <w:autoSpaceDE/>
        <w:autoSpaceDN/>
        <w:bidi w:val="0"/>
        <w:adjustRightInd/>
        <w:snapToGrid/>
        <w:spacing w:after="0" w:afterLines="0"/>
        <w:jc w:val="center"/>
        <w:textAlignment w:val="auto"/>
        <w:outlineLvl w:val="1"/>
        <w:rPr>
          <w:rFonts w:hint="eastAsia" w:ascii="方正小标宋简体" w:hAnsi="方正小标宋简体" w:eastAsia="方正小标宋简体" w:cs="方正小标宋简体"/>
          <w:b w:val="0"/>
          <w:bCs/>
          <w:sz w:val="28"/>
          <w:szCs w:val="28"/>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 xml:space="preserve">投标人廉政承诺书 </w:t>
      </w:r>
    </w:p>
    <w:p w14:paraId="1096BB53">
      <w:pPr>
        <w:spacing w:line="500" w:lineRule="exact"/>
        <w:ind w:firstLine="560" w:firstLineChars="200"/>
        <w:rPr>
          <w:rFonts w:hint="eastAsia" w:ascii="仿宋" w:hAnsi="仿宋" w:eastAsia="仿宋"/>
          <w:sz w:val="28"/>
          <w:szCs w:val="28"/>
          <w:highlight w:val="none"/>
        </w:rPr>
      </w:pPr>
    </w:p>
    <w:p w14:paraId="26FFBF1D">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为加强招标投标活动中的廉政建设，防止发生违法违纪行为，体现公开、公平、公正的原则，根据国家有关法律、法规和廉政建设责任制的规定，本投标人特作出如下承诺： </w:t>
      </w:r>
    </w:p>
    <w:p w14:paraId="47733336">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不与招标人、招标代理机构及其他投标人私下串通协商，进行围标、串标、抬标，控制投标价格。  </w:t>
      </w:r>
    </w:p>
    <w:p w14:paraId="57DA998A">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不向招标人、招标代理机构、评标专家(小组成员)行贿，以不正当手段谋取中标。 </w:t>
      </w:r>
    </w:p>
    <w:p w14:paraId="4C3ADEAB">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不向招标投标监管人员请客、送礼及组织其它有可能影响客观公正监管的活动。  </w:t>
      </w:r>
    </w:p>
    <w:p w14:paraId="2D5A07D3">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自觉遵守开标、评标现场工作纪律，不私下接触评标专家(小组成员)，不打听内部信息、秘密，不干扰正常的开标评标秩序。  </w:t>
      </w:r>
    </w:p>
    <w:p w14:paraId="355FEDA3">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不给责任人的违法违规行为说情。 </w:t>
      </w:r>
    </w:p>
    <w:p w14:paraId="2A0ACA2B">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不发生中标后无合理缘由不签订合同的行为。</w:t>
      </w:r>
    </w:p>
    <w:p w14:paraId="047F472E">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不发生其他违反招投标法律法规的行为。</w:t>
      </w:r>
    </w:p>
    <w:p w14:paraId="2F6AA973">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不发生其他不廉洁、不正当行为，包括但不限于给予招标人工作人员及近亲属、特定关系人请吃请喝、购物卡、现金、高档礼品、高档消费、违规合作经商等行为。</w:t>
      </w:r>
    </w:p>
    <w:p w14:paraId="2BD318E7">
      <w:pPr>
        <w:keepNext w:val="0"/>
        <w:keepLines w:val="0"/>
        <w:pageBreakBefore w:val="0"/>
        <w:widowControl w:val="0"/>
        <w:tabs>
          <w:tab w:val="left" w:pos="5475"/>
        </w:tabs>
        <w:kinsoku/>
        <w:wordWrap/>
        <w:overflowPunct/>
        <w:topLinePunct w:val="0"/>
        <w:bidi w:val="0"/>
        <w:snapToGrid/>
        <w:spacing w:line="48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足以弥补招标人损失的，同意赔偿招标人的全部损失。</w:t>
      </w:r>
    </w:p>
    <w:p w14:paraId="23BBF355">
      <w:pPr>
        <w:keepNext w:val="0"/>
        <w:keepLines w:val="0"/>
        <w:pageBreakBefore w:val="0"/>
        <w:widowControl w:val="0"/>
        <w:tabs>
          <w:tab w:val="left" w:pos="5475"/>
        </w:tabs>
        <w:kinsoku/>
        <w:wordWrap/>
        <w:overflowPunct/>
        <w:topLinePunct w:val="0"/>
        <w:bidi w:val="0"/>
        <w:snapToGrid/>
        <w:spacing w:line="480" w:lineRule="exact"/>
        <w:ind w:firstLine="3360" w:firstLineChars="1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投标人：（盖单位章）</w:t>
      </w:r>
    </w:p>
    <w:p w14:paraId="11D786A4">
      <w:pPr>
        <w:keepNext w:val="0"/>
        <w:keepLines w:val="0"/>
        <w:pageBreakBefore w:val="0"/>
        <w:widowControl w:val="0"/>
        <w:tabs>
          <w:tab w:val="left" w:pos="5475"/>
        </w:tabs>
        <w:kinsoku/>
        <w:wordWrap/>
        <w:overflowPunct/>
        <w:topLinePunct w:val="0"/>
        <w:bidi w:val="0"/>
        <w:snapToGrid/>
        <w:spacing w:line="480" w:lineRule="exact"/>
        <w:ind w:firstLine="3360" w:firstLineChars="1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投标代表人或法定代表人：（签字或盖章）</w:t>
      </w:r>
    </w:p>
    <w:p w14:paraId="45F0B121">
      <w:pPr>
        <w:keepNext w:val="0"/>
        <w:keepLines w:val="0"/>
        <w:pageBreakBefore w:val="0"/>
        <w:widowControl w:val="0"/>
        <w:tabs>
          <w:tab w:val="left" w:pos="5475"/>
        </w:tabs>
        <w:kinsoku/>
        <w:wordWrap/>
        <w:overflowPunct/>
        <w:topLinePunct w:val="0"/>
        <w:bidi w:val="0"/>
        <w:snapToGrid/>
        <w:spacing w:line="480" w:lineRule="exact"/>
        <w:ind w:firstLine="3360" w:firstLineChars="1200"/>
        <w:textAlignment w:val="auto"/>
        <w:rPr>
          <w:rFonts w:hint="eastAsia" w:ascii="方正小标宋简体" w:hAnsi="方正小标宋简体" w:eastAsia="方正小标宋简体" w:cs="方正小标宋简体"/>
          <w:b w:val="0"/>
          <w:bCs/>
          <w:sz w:val="28"/>
          <w:szCs w:val="28"/>
          <w:highlight w:val="none"/>
          <w:lang w:val="en-US" w:eastAsia="zh-CN"/>
        </w:rPr>
      </w:pPr>
      <w:r>
        <w:rPr>
          <w:rFonts w:hint="eastAsia" w:ascii="仿宋" w:hAnsi="仿宋" w:eastAsia="仿宋" w:cs="仿宋"/>
          <w:sz w:val="28"/>
          <w:szCs w:val="28"/>
          <w:highlight w:val="none"/>
        </w:rPr>
        <w:t>2026年    月    日</w:t>
      </w:r>
    </w:p>
    <w:p w14:paraId="1A8DB580">
      <w:pPr>
        <w:rPr>
          <w:rFonts w:hint="eastAsia"/>
          <w:lang w:val="en-US" w:eastAsia="zh-CN"/>
        </w:rPr>
      </w:pPr>
      <w:r>
        <w:rPr>
          <w:rFonts w:hint="eastAsia"/>
          <w:lang w:val="en-US" w:eastAsia="zh-CN"/>
        </w:rPr>
        <w:br w:type="page"/>
      </w:r>
    </w:p>
    <w:p w14:paraId="36B9A9D4">
      <w:pPr>
        <w:keepNext w:val="0"/>
        <w:keepLines w:val="0"/>
        <w:pageBreakBefore w:val="0"/>
        <w:widowControl w:val="0"/>
        <w:kinsoku/>
        <w:wordWrap/>
        <w:overflowPunct/>
        <w:topLinePunct w:val="0"/>
        <w:autoSpaceDE/>
        <w:autoSpaceDN/>
        <w:bidi w:val="0"/>
        <w:adjustRightInd w:val="0"/>
        <w:snapToGrid w:val="0"/>
        <w:spacing w:before="0" w:line="560" w:lineRule="exact"/>
        <w:ind w:left="0"/>
        <w:textAlignment w:val="auto"/>
        <w:outlineLvl w:val="0"/>
        <w:rPr>
          <w:rFonts w:hint="eastAsia" w:ascii="黑体" w:hAnsi="黑体" w:eastAsia="黑体" w:cs="黑体"/>
          <w:b w:val="0"/>
          <w:bCs w:val="0"/>
          <w:spacing w:val="6"/>
          <w:sz w:val="32"/>
          <w:szCs w:val="32"/>
          <w:lang w:val="en-US" w:eastAsia="zh-CN"/>
          <w:woUserID w:val="1"/>
        </w:rPr>
      </w:pPr>
      <w:r>
        <w:rPr>
          <w:rFonts w:hint="eastAsia" w:ascii="黑体" w:hAnsi="黑体" w:eastAsia="黑体" w:cs="黑体"/>
          <w:b w:val="0"/>
          <w:bCs w:val="0"/>
          <w:spacing w:val="6"/>
          <w:sz w:val="32"/>
          <w:szCs w:val="32"/>
          <w:lang w:val="en-US" w:eastAsia="zh-CN"/>
          <w:woUserID w:val="1"/>
        </w:rPr>
        <w:t>附件5</w:t>
      </w:r>
    </w:p>
    <w:p w14:paraId="2FC3482C">
      <w:pPr>
        <w:keepNext w:val="0"/>
        <w:keepLines w:val="0"/>
        <w:pageBreakBefore w:val="0"/>
        <w:widowControl/>
        <w:kinsoku/>
        <w:wordWrap/>
        <w:overflowPunct/>
        <w:topLinePunct w:val="0"/>
        <w:autoSpaceDE/>
        <w:autoSpaceDN/>
        <w:bidi w:val="0"/>
        <w:adjustRightInd/>
        <w:snapToGrid/>
        <w:spacing w:after="0" w:afterLines="0"/>
        <w:jc w:val="center"/>
        <w:textAlignment w:val="auto"/>
        <w:outlineLvl w:val="1"/>
        <w:rPr>
          <w:rFonts w:hint="eastAsia" w:ascii="方正小标宋简体" w:hAnsi="方正小标宋简体" w:eastAsia="方正小标宋简体" w:cs="方正小标宋简体"/>
          <w:b w:val="0"/>
          <w:bCs/>
          <w:sz w:val="28"/>
          <w:szCs w:val="28"/>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供应商承诺函</w:t>
      </w:r>
    </w:p>
    <w:p w14:paraId="3E979178">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致：</w:t>
      </w:r>
      <w:r>
        <w:rPr>
          <w:rFonts w:hint="eastAsia" w:ascii="仿宋" w:hAnsi="仿宋" w:eastAsia="仿宋" w:cs="仿宋"/>
          <w:b w:val="0"/>
          <w:bCs w:val="0"/>
          <w:sz w:val="28"/>
          <w:szCs w:val="28"/>
          <w:highlight w:val="none"/>
          <w:lang w:val="en-US" w:eastAsia="zh-CN"/>
        </w:rPr>
        <w:t>万基铝业（新疆）有限公司</w:t>
      </w:r>
    </w:p>
    <w:p w14:paraId="1AA5A28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我方自愿参与该项目的供应，根据《</w:t>
      </w:r>
      <w:r>
        <w:rPr>
          <w:rFonts w:hint="eastAsia" w:ascii="仿宋" w:hAnsi="仿宋" w:eastAsia="仿宋" w:cs="仿宋"/>
          <w:b w:val="0"/>
          <w:bCs w:val="0"/>
          <w:sz w:val="28"/>
          <w:szCs w:val="28"/>
          <w:highlight w:val="none"/>
          <w:lang w:eastAsia="zh-CN"/>
        </w:rPr>
        <w:t>中华人民共和国</w:t>
      </w:r>
      <w:r>
        <w:rPr>
          <w:rFonts w:hint="eastAsia" w:ascii="仿宋" w:hAnsi="仿宋" w:eastAsia="仿宋" w:cs="仿宋"/>
          <w:b w:val="0"/>
          <w:bCs w:val="0"/>
          <w:sz w:val="28"/>
          <w:szCs w:val="28"/>
          <w:highlight w:val="none"/>
          <w:lang w:val="en-US" w:eastAsia="zh-CN"/>
        </w:rPr>
        <w:t>招标投标</w:t>
      </w:r>
      <w:r>
        <w:rPr>
          <w:rFonts w:hint="eastAsia" w:ascii="仿宋" w:hAnsi="仿宋" w:eastAsia="仿宋" w:cs="仿宋"/>
          <w:b w:val="0"/>
          <w:bCs w:val="0"/>
          <w:sz w:val="28"/>
          <w:szCs w:val="28"/>
          <w:highlight w:val="none"/>
          <w:lang w:eastAsia="zh-CN"/>
        </w:rPr>
        <w:t>法</w:t>
      </w:r>
      <w:r>
        <w:rPr>
          <w:rFonts w:hint="eastAsia" w:ascii="仿宋" w:hAnsi="仿宋" w:eastAsia="仿宋" w:cs="仿宋"/>
          <w:b w:val="0"/>
          <w:bCs w:val="0"/>
          <w:sz w:val="28"/>
          <w:szCs w:val="28"/>
          <w:highlight w:val="none"/>
        </w:rPr>
        <w:t>》及相关法律法规和询价函的要求郑重承诺：</w:t>
      </w:r>
    </w:p>
    <w:p w14:paraId="661FE9E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一、严格遵守国家法律法规及相关规定，合法经营。</w:t>
      </w:r>
    </w:p>
    <w:p w14:paraId="63F9165D">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二、全面履行询价文件的承诺，杜绝不正当竞争行为，作到诚实、守信。</w:t>
      </w:r>
    </w:p>
    <w:p w14:paraId="69C3710E">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三、我方保证联系人、联系电话等信息真实齐全，如单位、地址、联系人等发生变动及时通知贵方。</w:t>
      </w:r>
    </w:p>
    <w:p w14:paraId="3148C6ED">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四、我方保证自觉接受并积极配合贵方有关监督检查和考核管理，如实反映情况。</w:t>
      </w:r>
    </w:p>
    <w:p w14:paraId="37D074EA">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五、我方如存在以下违约行为的，经调查属实，自愿接受解除供应商资格，列入不良行为记录名单，1-3年内不参加贵单位组织的采购活动，并予以通报。</w:t>
      </w:r>
    </w:p>
    <w:p w14:paraId="36F71F7A">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所提供的中标货物的价格高于同期同质的市场价。</w:t>
      </w:r>
    </w:p>
    <w:p w14:paraId="09C19FE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不履行询价函中的承诺。</w:t>
      </w:r>
    </w:p>
    <w:p w14:paraId="11F2BC3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提供虚假发票。</w:t>
      </w:r>
    </w:p>
    <w:p w14:paraId="28C77D9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不积极配合有关部门监督及管理。</w:t>
      </w:r>
    </w:p>
    <w:p w14:paraId="7EFDEA3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违反承诺书其他规定。</w:t>
      </w:r>
    </w:p>
    <w:p w14:paraId="5FE46F7F">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六、如我方所投报价高于市场调查价，采购人有权不采购我方产品。</w:t>
      </w:r>
    </w:p>
    <w:p w14:paraId="76A3D578">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七、如我方违约，给采购人造成经济损失的，采购人有权按实际经济损失要求我方进行赔偿。</w:t>
      </w:r>
    </w:p>
    <w:p w14:paraId="2C45385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八、我方所提供的货物符合国家质量标准及相关行业对产品的要求。</w:t>
      </w:r>
    </w:p>
    <w:p w14:paraId="6106F290">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九、本承诺书经我方代表签字并加盖公章后生效。</w:t>
      </w:r>
    </w:p>
    <w:p w14:paraId="4D058AD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供应商：</w:t>
      </w:r>
      <w:r>
        <w:rPr>
          <w:rFonts w:hint="eastAsia" w:ascii="仿宋" w:hAnsi="仿宋" w:eastAsia="仿宋" w:cs="仿宋"/>
          <w:b w:val="0"/>
          <w:bCs w:val="0"/>
          <w:sz w:val="28"/>
          <w:szCs w:val="28"/>
          <w:highlight w:val="none"/>
        </w:rPr>
        <w:t>（盖章）</w:t>
      </w:r>
    </w:p>
    <w:p w14:paraId="02A66DB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 xml:space="preserve">法定代表人或授权人签字：        </w:t>
      </w:r>
    </w:p>
    <w:p w14:paraId="3DA68C3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日期：    </w:t>
      </w:r>
      <w:r>
        <w:rPr>
          <w:rFonts w:hint="eastAsia" w:ascii="仿宋" w:hAnsi="仿宋" w:eastAsia="仿宋" w:cs="仿宋"/>
          <w:b w:val="0"/>
          <w:bCs w:val="0"/>
          <w:sz w:val="28"/>
          <w:szCs w:val="28"/>
          <w:highlight w:val="none"/>
        </w:rPr>
        <w:t>年    月    日</w:t>
      </w:r>
    </w:p>
    <w:p w14:paraId="5BF808B2">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rPr>
      </w:pPr>
    </w:p>
    <w:p w14:paraId="5205830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p>
    <w:p w14:paraId="05393812">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附件 6 法律服务合同模板</w:t>
      </w:r>
    </w:p>
    <w:p w14:paraId="4EFC746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2"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万基铝业（新疆）有限公司58万吨电解铝建设项目EPC总承包履约全过程风控及法律服务合同</w:t>
      </w:r>
    </w:p>
    <w:p w14:paraId="0B73D32E">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合同编号：WJ-XJ-FW-2026-</w:t>
      </w:r>
    </w:p>
    <w:p w14:paraId="3735664D">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甲方（聘请方）：万基铝业（新疆）有限公司</w:t>
      </w:r>
    </w:p>
    <w:p w14:paraId="6EB1EF4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地址：新疆第十三师新星市新星经济技术开发区骆驼圈子产业园</w:t>
      </w:r>
    </w:p>
    <w:p w14:paraId="2E1EF1F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联系人： 电话：</w:t>
      </w:r>
    </w:p>
    <w:p w14:paraId="0BA99380">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律师事务所（受聘方）：____________律师事务所</w:t>
      </w:r>
    </w:p>
    <w:p w14:paraId="64D295F0">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执业许可证号：</w:t>
      </w:r>
    </w:p>
    <w:p w14:paraId="7E51C34D">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地址：</w:t>
      </w:r>
    </w:p>
    <w:p w14:paraId="77E847A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联系人： 电话：</w:t>
      </w:r>
    </w:p>
    <w:p w14:paraId="7295E35E">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依据《中华人民共和国民法典》、《中华人民共和国律师法》等法律法规，甲乙双方本着平等自愿、诚实信用、专业合规原则，就甲方58万吨电解铝EPC总承包项目履约阶段全过程法律风控及专项法律服务事宜，订立本合同。</w:t>
      </w:r>
    </w:p>
    <w:p w14:paraId="15850D9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第一条 服务范围</w:t>
      </w:r>
    </w:p>
    <w:p w14:paraId="41BBB45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鉴于本项目EPC主合同已签订、现场已施工，律师事务所服务范围不含EPC主合同签约谈判、主合同审核、招投标文件法律评审等前期已完成工作。</w:t>
      </w:r>
    </w:p>
    <w:p w14:paraId="7EA0EC2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律师事务所仅提供以下服务：补充协议及技术协议法律审核、工程签证变更、索赔反索赔、分包及采购合同合规审查、安全环保合规、农民工工资劳资纠纷调处及用工合规、保函及担保法律管理、项目手续合规支持、竣工结算法律审查、合同资料归档、项目风险复盘、商务谈判与纠纷调解等全流程法律服务。</w:t>
      </w:r>
    </w:p>
    <w:p w14:paraId="4AF564E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本服务不含工程计量、造价审核、工程技术评审；诉讼、仲裁、行政诉讼等代理服务另行委托、费用另计。</w:t>
      </w:r>
    </w:p>
    <w:p w14:paraId="4EAC3A4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第二条 服务期限</w:t>
      </w:r>
    </w:p>
    <w:p w14:paraId="4F1407D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自合同签订之日起至本EPC工程竣工验收合格、竣工结算办结之日止，暂定24个月；项目工期顺延，服务期自动顺延，包干总价不作调整。质保期及遗留争议可另行签订补充协议。</w:t>
      </w:r>
    </w:p>
    <w:p w14:paraId="1CF896A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第三条 服务团队及服务要求</w:t>
      </w:r>
    </w:p>
    <w:p w14:paraId="63FD6CD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1、律师事务所组建不少于3人专项团队，配备2名十年以上执业律师（含建工专业律师）。</w:t>
      </w:r>
    </w:p>
    <w:p w14:paraId="1F659A2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2、核心律师未经甲方书面同意不得更换。</w:t>
      </w:r>
    </w:p>
    <w:p w14:paraId="09B82BF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3、常规事项24小时书面答复，紧急事项4小时响应；按需赴项目现场出差提供法律支持。</w:t>
      </w:r>
    </w:p>
    <w:p w14:paraId="01C24CB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4、按期出具法律意见书、风险清单、法律函件、风控台账、中期及最终复盘报告等成果文件。</w:t>
      </w:r>
    </w:p>
    <w:p w14:paraId="7400258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第四条 服务费用及付款节点</w:t>
      </w:r>
    </w:p>
    <w:p w14:paraId="7FD4F16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1、本合同总价包干含税人民币：元（大写：），税率：___%。</w:t>
      </w:r>
    </w:p>
    <w:p w14:paraId="56CE580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2、包干价含律师服务费、税费、资料费、市内交通费；异地差旅费实报实销。</w:t>
      </w:r>
    </w:p>
    <w:p w14:paraId="63600BF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3、付款节点：</w:t>
      </w:r>
    </w:p>
    <w:p w14:paraId="0D08147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目合同价款采用固定包干总价模式，实行分阶段节点付款，我方结合律师事务所服务履约进度、成果交付质量及验收情况，按以下四期节点支付合同款项，各期付款均以律师事务所完成对应阶段全部服务义务、交付合格成果并通过我方验收为前提：</w:t>
      </w:r>
    </w:p>
    <w:p w14:paraId="36F21F9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1.第一期 预付款（合同包干总价的30%）</w:t>
      </w:r>
    </w:p>
    <w:p w14:paraId="791AE3D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合同签订生效，律师事务所专项服务团队全部到位并向我方提交首期专项服务方案、项目风控台账及全周期服务计划后15个工作日内，我方向律师事务所支付合同包干总价的30%作为预付款。</w:t>
      </w:r>
    </w:p>
    <w:p w14:paraId="15610D85">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 第二期 项目启动进度款（合同包干总价的30%）</w:t>
      </w:r>
    </w:p>
    <w:p w14:paraId="235A84DB">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EPC总承包项目完成启动节点目标（电解车间一、二工段全部达到通电焙烧条件），且律师事务所已完成本项目启动至该节点对应的全流程履约法律服务（包括但不限于项目前期合同与补充协议合规审核、启动阶段履约风险前置管控、相关商务与法律事项专项支持、农民工工资支付合规保障法律服务），并向我方提交该节点完整的服务成果台账、节点履约风控专项报告，经我方验收合格后15个工作日内，我方向律师事务所支付合同包干总价的30%作为项目启动进度款。</w:t>
      </w:r>
    </w:p>
    <w:p w14:paraId="2821B565">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 第三期 项目竣工进度款（合同包干总价的20%）</w:t>
      </w:r>
    </w:p>
    <w:p w14:paraId="118DF3B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EPC总承包项目完成整体竣工验收，且律师事务所已全面完成本合同约定全周期剩余履约法律服务（包括但不限于项目实施过程补充协议合规审核、变更签证全流程合规管控、索赔与反索赔专项法律支持、农民工工资纠纷常态化法律服务、项目全周期履约风险闭环管控），并向我方提交完整的全周期服务成果台账、项目整体履约风控总结报告，经我方验收合格后15个工作日内，我方向律师事务所支付合同包干总价的20%作为项目竣工进度款。</w:t>
      </w:r>
    </w:p>
    <w:p w14:paraId="34FCC312">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4.第四期 竣工结算尾款（合同包干总价的20%）</w:t>
      </w:r>
    </w:p>
    <w:p w14:paraId="5BD4C5C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EPC总承包项目竣工结算全部办结、律师事务所已完成本合同项下全部法律服务义务，完成竣工结算文件合规审查、全项目合同资料归档整理、全周期履约风险复盘，并向我方提交完整服务成果汇编、最终项目风险复盘报告，经我方最终验收合格后30个工作日内，我方向律师事务所支付合同包干总价剩余的20%尾款，款项支付完毕后本合同项下价款全部结清。</w:t>
      </w:r>
    </w:p>
    <w:p w14:paraId="61AA5632">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 其他约定</w:t>
      </w:r>
    </w:p>
    <w:p w14:paraId="0B95CBB6">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（1）每期付款前，律师事务所须按我方财务要求提供合规、等额的增值税专用发票，否则我方有权顺延付款，且不承担任何逾期付款违约责任；</w:t>
      </w:r>
    </w:p>
    <w:p w14:paraId="74A51BAD">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律师事务所服务过程中产生的异地差旅费，参照《万基控股集团有限公司差旅费报销管理办法》执行标准，按月凭合规有效票据经我方财务审核后实报实销，该费用不占用本合同约定的节点付款额度，由我方另行支付；</w:t>
      </w:r>
    </w:p>
    <w:p w14:paraId="2ED0466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（3）本合同服务范围外的诉讼、仲裁、保全、执行等专项代理服务，由双方另行单独协商定价、签订专项协议并单独结算；</w:t>
      </w:r>
    </w:p>
    <w:p w14:paraId="431FECB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若律师事务所出现服务质量不达标、服务人员擅自更换、服务响应严重滞后等违约情形，我方有权暂缓支付对应节点款项、按合同约定扣减服务费，直至律师事务所整改合格并通过我方验收，因此产生的全部损失由律师事务所承担。</w:t>
      </w:r>
    </w:p>
    <w:p w14:paraId="759F2D94">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第五条 双方权利义务</w:t>
      </w:r>
    </w:p>
    <w:p w14:paraId="587DFC35">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1、甲方及时提供项目真实资料，监督服务质量，按合同约定支付费用、报销合规差旅费。</w:t>
      </w:r>
    </w:p>
    <w:p w14:paraId="2ACDD0C1">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2、律师事务所勤勉专业履职，严守保密义务，不得转包本项目服务，不得擅自更换核心服务人员。</w:t>
      </w:r>
    </w:p>
    <w:p w14:paraId="48C74E9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第六条 保密义务</w:t>
      </w:r>
    </w:p>
    <w:p w14:paraId="3E4289B8">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律师事务所对服务期间知悉的项目资料、商业秘密、合同信息、风控方案承担永久保密义务，泄密造成损失的全额赔偿。</w:t>
      </w:r>
    </w:p>
    <w:p w14:paraId="2AC3ECD5">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第七条 违约责任</w:t>
      </w:r>
    </w:p>
    <w:p w14:paraId="083B02A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任何一方违约须承担合同约定及法律规定责任；律师事务所服务履职不到位、擅自更换核心律师、泄露保密信息的，甲方有权扣减服务费、单方解除合同并列入合作黑名单。</w:t>
      </w:r>
    </w:p>
    <w:p w14:paraId="5293CC67">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第八条 争议解决</w:t>
      </w:r>
    </w:p>
    <w:p w14:paraId="5C8C274E">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双方发生争议优先协商；协商不成，提交项目所在地人民法院诉讼解决。</w:t>
      </w:r>
    </w:p>
    <w:p w14:paraId="3B1DF848">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第九条 其他</w:t>
      </w:r>
    </w:p>
    <w:p w14:paraId="66E6A16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1、询比价文件、响应文件、述标承诺、廉政承诺书、供应商承诺函均为本合同组成部分，具有同等法律效力。</w:t>
      </w:r>
    </w:p>
    <w:p w14:paraId="097E4373">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2、本合同一式肆份，甲乙双方各执贰份，签字盖章后生效。</w:t>
      </w:r>
    </w:p>
    <w:p w14:paraId="07640402">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p>
    <w:p w14:paraId="2741D06F">
      <w:pPr>
        <w:keepNext w:val="0"/>
        <w:keepLines w:val="0"/>
        <w:pageBreakBefore w:val="0"/>
        <w:widowControl w:val="0"/>
        <w:tabs>
          <w:tab w:val="left" w:pos="5475"/>
        </w:tabs>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甲方（盖章）：____________     律师事务所（盖章）：____________</w:t>
      </w:r>
    </w:p>
    <w:p w14:paraId="4ACE41A9">
      <w:pPr>
        <w:keepNext w:val="0"/>
        <w:keepLines w:val="0"/>
        <w:pageBreakBefore w:val="0"/>
        <w:widowControl w:val="0"/>
        <w:tabs>
          <w:tab w:val="left" w:pos="5475"/>
        </w:tabs>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法定代表人 / 授权代表：______ 法定代表人 / 授权代表：______</w:t>
      </w:r>
    </w:p>
    <w:p w14:paraId="181EA3F4">
      <w:pPr>
        <w:keepNext w:val="0"/>
        <w:keepLines w:val="0"/>
        <w:pageBreakBefore w:val="0"/>
        <w:widowControl w:val="0"/>
        <w:tabs>
          <w:tab w:val="left" w:pos="5475"/>
        </w:tabs>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日期：                        日期：</w:t>
      </w:r>
    </w:p>
    <w:p w14:paraId="29A14709">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p>
    <w:p w14:paraId="05F1026E">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p>
    <w:p w14:paraId="0CD3A32C">
      <w:pPr>
        <w:keepNext w:val="0"/>
        <w:keepLines w:val="0"/>
        <w:pageBreakBefore w:val="0"/>
        <w:widowControl w:val="0"/>
        <w:tabs>
          <w:tab w:val="left" w:pos="5475"/>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p>
    <w:sectPr>
      <w:footerReference r:id="rId5" w:type="default"/>
      <w:pgSz w:w="11906" w:h="16838"/>
      <w:pgMar w:top="1701" w:right="1417" w:bottom="1587" w:left="141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A3DEC6-9BBB-4C75-AD9D-F2125FE829D2}"/>
  </w:font>
  <w:font w:name="黑体">
    <w:panose1 w:val="02010609060101010101"/>
    <w:charset w:val="86"/>
    <w:family w:val="auto"/>
    <w:pitch w:val="default"/>
    <w:sig w:usb0="800002BF" w:usb1="38CF7CFA" w:usb2="00000016" w:usb3="00000000" w:csb0="00040001" w:csb1="00000000"/>
    <w:embedRegular r:id="rId2" w:fontKey="{7CF1569D-5698-46C0-BDF2-E4731160A5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C800D67B-C2C1-4BB8-8537-CE1256332969}"/>
  </w:font>
  <w:font w:name="楷体_GB2312">
    <w:altName w:val="楷体"/>
    <w:panose1 w:val="02010609030101010101"/>
    <w:charset w:val="86"/>
    <w:family w:val="auto"/>
    <w:pitch w:val="default"/>
    <w:sig w:usb0="00000000" w:usb1="00000000" w:usb2="00000000" w:usb3="00000000" w:csb0="00040000" w:csb1="00000000"/>
    <w:embedRegular r:id="rId4" w:fontKey="{9B52E17A-627A-4864-99D9-480057C82046}"/>
  </w:font>
  <w:font w:name="楷体">
    <w:panose1 w:val="02010609060101010101"/>
    <w:charset w:val="86"/>
    <w:family w:val="auto"/>
    <w:pitch w:val="default"/>
    <w:sig w:usb0="800002BF" w:usb1="38CF7CFA" w:usb2="00000016" w:usb3="00000000" w:csb0="00040001" w:csb1="00000000"/>
    <w:embedRegular r:id="rId5" w:fontKey="{1D9C479D-A077-4F14-B333-1E305B30AFB4}"/>
  </w:font>
  <w:font w:name="仿宋_GB2312">
    <w:altName w:val="仿宋"/>
    <w:panose1 w:val="02010609030101010101"/>
    <w:charset w:val="86"/>
    <w:family w:val="modern"/>
    <w:pitch w:val="default"/>
    <w:sig w:usb0="00000000" w:usb1="00000000" w:usb2="00000000" w:usb3="00000000" w:csb0="00040000" w:csb1="00000000"/>
    <w:embedRegular r:id="rId6" w:fontKey="{066723AB-B860-46FB-A07D-54EA8C46D15A}"/>
  </w:font>
  <w:font w:name="仿宋">
    <w:panose1 w:val="02010609060101010101"/>
    <w:charset w:val="86"/>
    <w:family w:val="auto"/>
    <w:pitch w:val="default"/>
    <w:sig w:usb0="800002BF" w:usb1="38CF7CFA" w:usb2="00000016" w:usb3="00000000" w:csb0="00040001" w:csb1="00000000"/>
    <w:embedRegular r:id="rId7" w:fontKey="{8FCFC8BE-0367-483B-80B5-1681F30D402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2B42">
    <w:pPr>
      <w:spacing w:line="181" w:lineRule="auto"/>
      <w:ind w:left="8805"/>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89D5">
    <w:pPr>
      <w:spacing w:line="181" w:lineRule="auto"/>
      <w:ind w:left="88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FFF2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3FFF2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DC49">
    <w:pPr>
      <w:pStyle w:val="8"/>
      <w:keepNext w:val="0"/>
      <w:keepLines w:val="0"/>
      <w:pageBreakBefore w:val="0"/>
      <w:widowControl/>
      <w:pBdr>
        <w:bottom w:val="thickThinSmallGap" w:color="FF0000" w:sz="12" w:space="1"/>
      </w:pBdr>
      <w:kinsoku w:val="0"/>
      <w:wordWrap/>
      <w:overflowPunct/>
      <w:topLinePunct w:val="0"/>
      <w:bidi w:val="0"/>
      <w:adjustRightInd w:val="0"/>
      <w:snapToGrid w:val="0"/>
      <w:ind w:firstLine="5060" w:firstLineChars="1800"/>
      <w:jc w:val="both"/>
      <w:textAlignment w:val="baseline"/>
    </w:pPr>
    <w:r>
      <w:rPr>
        <w:rFonts w:hint="eastAsia" w:ascii="方正小标宋简体" w:hAnsi="方正小标宋简体" w:eastAsia="方正小标宋简体" w:cs="方正小标宋简体"/>
        <w:b/>
        <w:bCs/>
        <w:i/>
        <w:iCs/>
        <w:color w:val="FF0000"/>
        <w:sz w:val="28"/>
        <w:szCs w:val="36"/>
        <w:lang w:val="en-US" w:eastAsia="zh-CN"/>
      </w:rPr>
      <w:t>万基控股集团有限公司</w:t>
    </w:r>
  </w:p>
  <w:p w14:paraId="020E9E8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B6397"/>
    <w:multiLevelType w:val="singleLevel"/>
    <w:tmpl w:val="A43B639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5861"/>
    <w:rsid w:val="001E1859"/>
    <w:rsid w:val="002E6ADD"/>
    <w:rsid w:val="002F3467"/>
    <w:rsid w:val="004D7D33"/>
    <w:rsid w:val="004F3C7C"/>
    <w:rsid w:val="006024AF"/>
    <w:rsid w:val="006D1D66"/>
    <w:rsid w:val="00920F2C"/>
    <w:rsid w:val="00C26183"/>
    <w:rsid w:val="00C37217"/>
    <w:rsid w:val="00D56B85"/>
    <w:rsid w:val="00DA15C6"/>
    <w:rsid w:val="00E97CF3"/>
    <w:rsid w:val="00EA1384"/>
    <w:rsid w:val="01FB0577"/>
    <w:rsid w:val="03A013D6"/>
    <w:rsid w:val="05123C0E"/>
    <w:rsid w:val="0519280B"/>
    <w:rsid w:val="054268C0"/>
    <w:rsid w:val="05A64F6F"/>
    <w:rsid w:val="05B44CC5"/>
    <w:rsid w:val="05F802AB"/>
    <w:rsid w:val="066277F4"/>
    <w:rsid w:val="0683788A"/>
    <w:rsid w:val="071D4AEC"/>
    <w:rsid w:val="08534C69"/>
    <w:rsid w:val="088766C0"/>
    <w:rsid w:val="089B5FAD"/>
    <w:rsid w:val="08AC25CB"/>
    <w:rsid w:val="09F2225F"/>
    <w:rsid w:val="0AB13EC9"/>
    <w:rsid w:val="0B697B29"/>
    <w:rsid w:val="0BE856C8"/>
    <w:rsid w:val="0C607954"/>
    <w:rsid w:val="0FE13A2B"/>
    <w:rsid w:val="10B464C1"/>
    <w:rsid w:val="11BF336F"/>
    <w:rsid w:val="13E9022F"/>
    <w:rsid w:val="15C251DC"/>
    <w:rsid w:val="15D373E9"/>
    <w:rsid w:val="1695644C"/>
    <w:rsid w:val="16FB43F5"/>
    <w:rsid w:val="176A5B2B"/>
    <w:rsid w:val="17B32A1F"/>
    <w:rsid w:val="17BE7C25"/>
    <w:rsid w:val="18A92683"/>
    <w:rsid w:val="192E5494"/>
    <w:rsid w:val="196071E6"/>
    <w:rsid w:val="1B554FD2"/>
    <w:rsid w:val="1C0C0F5F"/>
    <w:rsid w:val="1CC730D8"/>
    <w:rsid w:val="1D266050"/>
    <w:rsid w:val="1DC81635"/>
    <w:rsid w:val="1F6410B2"/>
    <w:rsid w:val="20D67D8D"/>
    <w:rsid w:val="20DF30E6"/>
    <w:rsid w:val="21823A71"/>
    <w:rsid w:val="233F60BE"/>
    <w:rsid w:val="23DE7685"/>
    <w:rsid w:val="242D5F16"/>
    <w:rsid w:val="251B0465"/>
    <w:rsid w:val="25423C43"/>
    <w:rsid w:val="256718FC"/>
    <w:rsid w:val="25FC0296"/>
    <w:rsid w:val="26211AAB"/>
    <w:rsid w:val="2723166D"/>
    <w:rsid w:val="27CB73D1"/>
    <w:rsid w:val="27EC1DB3"/>
    <w:rsid w:val="284C07C8"/>
    <w:rsid w:val="28B322EE"/>
    <w:rsid w:val="299B6018"/>
    <w:rsid w:val="2A007C29"/>
    <w:rsid w:val="2A6F4E73"/>
    <w:rsid w:val="2C2B07F3"/>
    <w:rsid w:val="2C8608B9"/>
    <w:rsid w:val="2CBA4A07"/>
    <w:rsid w:val="2FEF09EC"/>
    <w:rsid w:val="30D7543E"/>
    <w:rsid w:val="311D7312"/>
    <w:rsid w:val="35757350"/>
    <w:rsid w:val="369736C3"/>
    <w:rsid w:val="36B209E3"/>
    <w:rsid w:val="36E20DE2"/>
    <w:rsid w:val="378264CB"/>
    <w:rsid w:val="388A34DF"/>
    <w:rsid w:val="393A4F06"/>
    <w:rsid w:val="39AF6338"/>
    <w:rsid w:val="3A773F37"/>
    <w:rsid w:val="3B6E533A"/>
    <w:rsid w:val="3BE13D5E"/>
    <w:rsid w:val="3DF67EE6"/>
    <w:rsid w:val="3FA71EB0"/>
    <w:rsid w:val="409018AF"/>
    <w:rsid w:val="40F938F8"/>
    <w:rsid w:val="41F52311"/>
    <w:rsid w:val="42A258CA"/>
    <w:rsid w:val="42E45EE2"/>
    <w:rsid w:val="43013307"/>
    <w:rsid w:val="43D30430"/>
    <w:rsid w:val="44F56185"/>
    <w:rsid w:val="451C7385"/>
    <w:rsid w:val="457E7663"/>
    <w:rsid w:val="46C2653A"/>
    <w:rsid w:val="479559FD"/>
    <w:rsid w:val="47C03C56"/>
    <w:rsid w:val="480A1F47"/>
    <w:rsid w:val="48213971"/>
    <w:rsid w:val="49F4757A"/>
    <w:rsid w:val="4A317D01"/>
    <w:rsid w:val="4AB97C54"/>
    <w:rsid w:val="4B577B99"/>
    <w:rsid w:val="4BBC5C4E"/>
    <w:rsid w:val="4BCD40B9"/>
    <w:rsid w:val="4C3E4F44"/>
    <w:rsid w:val="4D8602C2"/>
    <w:rsid w:val="4EA81E00"/>
    <w:rsid w:val="4F0973FC"/>
    <w:rsid w:val="4F6F4D85"/>
    <w:rsid w:val="50827431"/>
    <w:rsid w:val="511D40B3"/>
    <w:rsid w:val="51EE4687"/>
    <w:rsid w:val="51FF0643"/>
    <w:rsid w:val="53E75832"/>
    <w:rsid w:val="54806B30"/>
    <w:rsid w:val="548945A5"/>
    <w:rsid w:val="55216B22"/>
    <w:rsid w:val="55562C6F"/>
    <w:rsid w:val="557914A6"/>
    <w:rsid w:val="56345C99"/>
    <w:rsid w:val="566C0E6D"/>
    <w:rsid w:val="56B95D55"/>
    <w:rsid w:val="57BE1D80"/>
    <w:rsid w:val="582E57DE"/>
    <w:rsid w:val="583B614D"/>
    <w:rsid w:val="5872466F"/>
    <w:rsid w:val="589F1213"/>
    <w:rsid w:val="598F1372"/>
    <w:rsid w:val="5A404027"/>
    <w:rsid w:val="5A5B4884"/>
    <w:rsid w:val="5AEC4941"/>
    <w:rsid w:val="5B6E08BE"/>
    <w:rsid w:val="5BD871D2"/>
    <w:rsid w:val="5CE27E10"/>
    <w:rsid w:val="5D9C2458"/>
    <w:rsid w:val="5EF96E2C"/>
    <w:rsid w:val="5F4678B1"/>
    <w:rsid w:val="614B11AE"/>
    <w:rsid w:val="61F41846"/>
    <w:rsid w:val="639B092B"/>
    <w:rsid w:val="63C00461"/>
    <w:rsid w:val="65ED6CD8"/>
    <w:rsid w:val="6681668E"/>
    <w:rsid w:val="66BE68C6"/>
    <w:rsid w:val="676C6322"/>
    <w:rsid w:val="681F4711"/>
    <w:rsid w:val="68525518"/>
    <w:rsid w:val="68555008"/>
    <w:rsid w:val="687916F5"/>
    <w:rsid w:val="6972370D"/>
    <w:rsid w:val="6AB57280"/>
    <w:rsid w:val="6D1159A2"/>
    <w:rsid w:val="6D5B4E6F"/>
    <w:rsid w:val="6DE12FB6"/>
    <w:rsid w:val="701E3F32"/>
    <w:rsid w:val="71AF60FB"/>
    <w:rsid w:val="71C268FA"/>
    <w:rsid w:val="72003A25"/>
    <w:rsid w:val="72D86CA9"/>
    <w:rsid w:val="73BE7F06"/>
    <w:rsid w:val="74D3178F"/>
    <w:rsid w:val="75691048"/>
    <w:rsid w:val="75760906"/>
    <w:rsid w:val="759251A6"/>
    <w:rsid w:val="76EE465E"/>
    <w:rsid w:val="77366005"/>
    <w:rsid w:val="775F730A"/>
    <w:rsid w:val="7798281C"/>
    <w:rsid w:val="786D1EFA"/>
    <w:rsid w:val="78CA4409"/>
    <w:rsid w:val="78F40598"/>
    <w:rsid w:val="791A5BDE"/>
    <w:rsid w:val="792979B8"/>
    <w:rsid w:val="796706F8"/>
    <w:rsid w:val="79BD47BC"/>
    <w:rsid w:val="7A140880"/>
    <w:rsid w:val="7ABD5581"/>
    <w:rsid w:val="7B5F5B2A"/>
    <w:rsid w:val="7BD227A0"/>
    <w:rsid w:val="7C0B3F04"/>
    <w:rsid w:val="7C1E3C37"/>
    <w:rsid w:val="7DCE6F97"/>
    <w:rsid w:val="7DFD549B"/>
    <w:rsid w:val="7E0429B9"/>
    <w:rsid w:val="7FDB3BE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cs="Arial"/>
      <w:b/>
      <w:bCs/>
      <w:kern w:val="2"/>
      <w:sz w:val="32"/>
      <w:szCs w:val="32"/>
      <w:lang w:val="en-US" w:eastAsia="zh-CN"/>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20"/>
      <w:jc w:val="left"/>
    </w:pPr>
    <w:rPr>
      <w:rFonts w:ascii="宋体" w:hAnsi="宋体" w:eastAsia="宋体"/>
      <w:kern w:val="0"/>
      <w:sz w:val="33"/>
      <w:szCs w:val="33"/>
      <w:lang w:eastAsia="en-US"/>
    </w:rPr>
  </w:style>
  <w:style w:type="paragraph" w:styleId="6">
    <w:name w:val="Body Text Indent"/>
    <w:basedOn w:val="1"/>
    <w:unhideWhenUsed/>
    <w:qFormat/>
    <w:uiPriority w:val="99"/>
    <w:pPr>
      <w:spacing w:after="120"/>
      <w:ind w:left="420" w:leftChars="200"/>
    </w:pPr>
  </w:style>
  <w:style w:type="paragraph" w:styleId="7">
    <w:name w:val="footer"/>
    <w:basedOn w:val="1"/>
    <w:next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paragraph" w:customStyle="1" w:styleId="17">
    <w:name w:val="表格内文字"/>
    <w:basedOn w:val="1"/>
    <w:qFormat/>
    <w:uiPriority w:val="0"/>
    <w:pPr>
      <w:widowControl/>
      <w:spacing w:line="360" w:lineRule="auto"/>
      <w:jc w:val="center"/>
    </w:pPr>
    <w:rPr>
      <w:rFonts w:ascii="Calibri" w:hAnsi="Calibri"/>
      <w:kern w:val="0"/>
      <w:sz w:val="24"/>
      <w:szCs w:val="20"/>
    </w:rPr>
  </w:style>
  <w:style w:type="paragraph" w:customStyle="1" w:styleId="1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9017</Words>
  <Characters>9265</Characters>
  <Lines>5</Lines>
  <Paragraphs>1</Paragraphs>
  <TotalTime>23</TotalTime>
  <ScaleCrop>false</ScaleCrop>
  <LinksUpToDate>false</LinksUpToDate>
  <CharactersWithSpaces>9729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2023-02-15T06:48:00Z</dcterms:created>
  <dc:creator>Windows 用户</dc:creator>
  <cp:lastModifiedBy>轻描淡写、</cp:lastModifiedBy>
  <cp:lastPrinted>2025-03-26T01:48:00Z</cp:lastPrinted>
  <dcterms:modified xsi:type="dcterms:W3CDTF">2026-07-03T08:44:32Z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eyJoZGlkIjoiMzEwNTM5NzYwMDRjMzkwZTVkZjY2ODkwMGIxNGU0OTUiLCJ1c2VySWQiOiI1MTU2NDEwMjIifQ==</vt:lpwstr>
  </property>
  <property fmtid="{D5CDD505-2E9C-101B-9397-08002B2CF9AE}" pid="3" name="KSOProductBuildVer">
    <vt:lpwstr>2052-12.1.0.26895</vt:lpwstr>
  </property>
  <property fmtid="{D5CDD505-2E9C-101B-9397-08002B2CF9AE}" pid="4" name="ICV">
    <vt:lpwstr>EFB743E8DDC8404F98B13C21308774D1_13</vt:lpwstr>
  </property>
</Properties>
</file>